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2224EC" w:rsidRDefault="00C66930" w:rsidP="000D3299">
      <w:pPr>
        <w:spacing w:line="240" w:lineRule="auto"/>
        <w:ind w:left="-851"/>
        <w:jc w:val="center"/>
        <w:rPr>
          <w:rFonts w:ascii="Arial" w:hAnsi="Arial" w:cs="Arial"/>
          <w:sz w:val="40"/>
          <w:szCs w:val="40"/>
          <w:lang w:val="en-US"/>
        </w:rPr>
      </w:pPr>
      <w:r w:rsidRPr="002224EC">
        <w:rPr>
          <w:rFonts w:ascii="Arial" w:hAnsi="Arial" w:cs="Arial"/>
          <w:sz w:val="40"/>
          <w:szCs w:val="40"/>
          <w:lang w:val="en-US"/>
        </w:rPr>
        <w:t>North</w:t>
      </w:r>
    </w:p>
    <w:p w:rsidR="005070C8" w:rsidRDefault="00843492"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anchor distT="0" distB="0" distL="114300" distR="114300" simplePos="0" relativeHeight="251728384" behindDoc="0" locked="0" layoutInCell="1" allowOverlap="1">
            <wp:simplePos x="0" y="0"/>
            <wp:positionH relativeFrom="column">
              <wp:posOffset>2904490</wp:posOffset>
            </wp:positionH>
            <wp:positionV relativeFrom="paragraph">
              <wp:posOffset>4055745</wp:posOffset>
            </wp:positionV>
            <wp:extent cx="915035" cy="414655"/>
            <wp:effectExtent l="19050" t="0" r="0" b="0"/>
            <wp:wrapNone/>
            <wp:docPr id="5"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11" cstate="print"/>
                    <a:srcRect/>
                    <a:stretch>
                      <a:fillRect/>
                    </a:stretch>
                  </pic:blipFill>
                  <pic:spPr bwMode="auto">
                    <a:xfrm>
                      <a:off x="0" y="0"/>
                      <a:ext cx="915035" cy="414655"/>
                    </a:xfrm>
                    <a:prstGeom prst="rect">
                      <a:avLst/>
                    </a:prstGeom>
                    <a:noFill/>
                    <a:ln w="9525">
                      <a:noFill/>
                      <a:miter lim="800000"/>
                      <a:headEnd/>
                      <a:tailEnd/>
                    </a:ln>
                  </pic:spPr>
                </pic:pic>
              </a:graphicData>
            </a:graphic>
          </wp:anchor>
        </w:drawing>
      </w:r>
      <w:r w:rsidR="00C66930">
        <w:rPr>
          <w:rFonts w:ascii="Arial" w:hAnsi="Arial" w:cs="Arial"/>
          <w:noProof/>
          <w:sz w:val="32"/>
          <w:szCs w:val="32"/>
          <w:lang w:val="en-US"/>
        </w:rPr>
        <w:drawing>
          <wp:inline distT="0" distB="0" distL="0" distR="0">
            <wp:extent cx="2638425" cy="4838700"/>
            <wp:effectExtent l="1905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638425" cy="4838700"/>
                    </a:xfrm>
                    <a:prstGeom prst="rect">
                      <a:avLst/>
                    </a:prstGeom>
                    <a:noFill/>
                    <a:ln w="9525">
                      <a:noFill/>
                      <a:miter lim="800000"/>
                      <a:headEnd/>
                      <a:tailEnd/>
                    </a:ln>
                  </pic:spPr>
                </pic:pic>
              </a:graphicData>
            </a:graphic>
          </wp:inline>
        </w:drawing>
      </w:r>
    </w:p>
    <w:p w:rsidR="007B09FE" w:rsidRDefault="007B09FE" w:rsidP="00337519">
      <w:pPr>
        <w:spacing w:after="0" w:line="240" w:lineRule="auto"/>
        <w:ind w:left="-851"/>
        <w:jc w:val="center"/>
        <w:rPr>
          <w:rFonts w:ascii="Arial" w:hAnsi="Arial" w:cs="Arial"/>
          <w:sz w:val="32"/>
          <w:szCs w:val="32"/>
          <w:lang w:val="en-US"/>
        </w:rPr>
      </w:pPr>
    </w:p>
    <w:p w:rsidR="002224EC" w:rsidRDefault="002224EC" w:rsidP="002224EC">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2224EC" w:rsidRDefault="002224EC" w:rsidP="002224EC">
      <w:pPr>
        <w:spacing w:after="0" w:line="240" w:lineRule="auto"/>
        <w:ind w:left="-851"/>
        <w:jc w:val="center"/>
        <w:rPr>
          <w:rFonts w:ascii="Arial" w:hAnsi="Arial" w:cs="Arial"/>
        </w:rPr>
      </w:pPr>
      <w:r>
        <w:rPr>
          <w:rFonts w:ascii="Arial" w:hAnsi="Arial" w:cs="Arial"/>
          <w:sz w:val="32"/>
          <w:szCs w:val="32"/>
          <w:lang w:val="en-US"/>
        </w:rPr>
        <w:t>November 2012</w:t>
      </w:r>
    </w:p>
    <w:p w:rsidR="00BC65E1" w:rsidRPr="00FC5035" w:rsidRDefault="00BC65E1" w:rsidP="00337519">
      <w:pPr>
        <w:spacing w:after="0" w:line="240" w:lineRule="auto"/>
        <w:ind w:left="-851"/>
        <w:jc w:val="center"/>
        <w:rPr>
          <w:rFonts w:ascii="Arial" w:hAnsi="Arial" w:cs="Arial"/>
          <w:sz w:val="32"/>
          <w:szCs w:val="32"/>
          <w:lang w:val="en-US"/>
        </w:rPr>
      </w:pP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3"/>
          <w:footerReference w:type="even" r:id="rId14"/>
          <w:footerReference w:type="default" r:id="rId15"/>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1038DE" w:rsidRPr="0085195F" w:rsidRDefault="000A647A" w:rsidP="001038DE">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1038DE" w:rsidRPr="0085195F">
        <w:t>This is intended as an electronic publication so map quality is generally high to allow users to zoom into specific territories.</w:t>
      </w:r>
    </w:p>
    <w:p w:rsidR="000A647A" w:rsidRDefault="001038DE" w:rsidP="001038DE">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8B0A9A" w:rsidRDefault="008B0A9A" w:rsidP="008B0A9A">
      <w:r>
        <w:t>In the following the traffic light for each indicator represents how your programme territory compares to wider European and national medians where green = your programme area performs better for that indicator, yel</w:t>
      </w:r>
      <w:r w:rsidR="001038DE">
        <w:t>low = similar, and red = worse.</w:t>
      </w:r>
    </w:p>
    <w:p w:rsidR="00D94B3D" w:rsidRDefault="008B0A9A" w:rsidP="00D94B3D">
      <w:r>
        <w:t xml:space="preserve">In creating the traffic </w:t>
      </w:r>
      <w:r w:rsidR="00D94B3D">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2017D9" w:rsidRPr="00973E76" w:rsidRDefault="002017D9" w:rsidP="002017D9">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337872" w:rsidRDefault="00337872" w:rsidP="00337872">
      <w:pPr>
        <w:pStyle w:val="Heading3"/>
      </w:pPr>
      <w:r w:rsidRPr="005F3D59">
        <w:t>Smart growth</w:t>
      </w:r>
      <w:r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5F3D59" w:rsidRDefault="008F162C" w:rsidP="008F162C">
      <w:r>
        <w:rPr>
          <w:noProof/>
          <w:lang w:val="en-US"/>
        </w:rPr>
        <w:drawing>
          <wp:anchor distT="0" distB="0" distL="114300" distR="114300" simplePos="0" relativeHeight="251737600" behindDoc="1" locked="0" layoutInCell="1" allowOverlap="1">
            <wp:simplePos x="0" y="0"/>
            <wp:positionH relativeFrom="column">
              <wp:posOffset>15240</wp:posOffset>
            </wp:positionH>
            <wp:positionV relativeFrom="paragraph">
              <wp:posOffset>26035</wp:posOffset>
            </wp:positionV>
            <wp:extent cx="5273675" cy="2455545"/>
            <wp:effectExtent l="19050" t="0" r="3175" b="0"/>
            <wp:wrapTight wrapText="bothSides">
              <wp:wrapPolygon edited="0">
                <wp:start x="-78" y="0"/>
                <wp:lineTo x="-78" y="21449"/>
                <wp:lineTo x="21613" y="21449"/>
                <wp:lineTo x="21613" y="0"/>
                <wp:lineTo x="-78" y="0"/>
              </wp:wrapPolygon>
            </wp:wrapTight>
            <wp:docPr id="8" name="Bild 1" descr="P:\LU_2011_ESPON_TerrEvi_100269\03_Project development\WorkinProgress_FactSheets\Factsheets_CBC_neu\TL_CBC2\CBC Programme Nort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TL_CBC2\CBC Programme North 1.png"/>
                    <pic:cNvPicPr>
                      <a:picLocks noChangeAspect="1" noChangeArrowheads="1"/>
                    </pic:cNvPicPr>
                  </pic:nvPicPr>
                  <pic:blipFill>
                    <a:blip r:embed="rId16" cstate="print"/>
                    <a:srcRect/>
                    <a:stretch>
                      <a:fillRect/>
                    </a:stretch>
                  </pic:blipFill>
                  <pic:spPr bwMode="auto">
                    <a:xfrm>
                      <a:off x="0" y="0"/>
                      <a:ext cx="5273675" cy="2455545"/>
                    </a:xfrm>
                    <a:prstGeom prst="rect">
                      <a:avLst/>
                    </a:prstGeom>
                    <a:noFill/>
                    <a:ln w="9525">
                      <a:noFill/>
                      <a:miter lim="800000"/>
                      <a:headEnd/>
                      <a:tailEnd/>
                    </a:ln>
                  </pic:spPr>
                </pic:pic>
              </a:graphicData>
            </a:graphic>
          </wp:anchor>
        </w:drawing>
      </w:r>
      <w:r w:rsidR="005F3D59">
        <w:t xml:space="preserve">According to all indicators reported above, the North CBC area performs </w:t>
      </w:r>
      <w:r w:rsidR="005F3D59" w:rsidRPr="00322B6E">
        <w:t xml:space="preserve">better than the EU27+4 space and all CBC ones. Considering the objective of R&amp;D expenditure of  percentage of the GDP - one of the five headline targets in the Europe 2020 Strategy - the CBC area is still in a better position than the EU27+4 space and all CBC. Moreover, North CBC area is characterized by a high level of internal disparity and performs better than both Finland and Sweden. </w:t>
      </w:r>
    </w:p>
    <w:p w:rsidR="005F3D59" w:rsidRDefault="005F3D59" w:rsidP="005F3D59">
      <w:r>
        <w:lastRenderedPageBreak/>
        <w:t xml:space="preserve">Concerning the ratio of employment in knowledge-intensive service to the total </w:t>
      </w:r>
      <w:r w:rsidRPr="00322B6E">
        <w:t>employment in 2010, the CBC area has higher values than the EU27+4 space and all CBCs; slightly higher than Finland, Norway and Sweden. The distribution inside the CBC results in a medium level of internal disparity.</w:t>
      </w:r>
      <w:r>
        <w:t xml:space="preserve"> </w:t>
      </w:r>
    </w:p>
    <w:p w:rsidR="005F3D59" w:rsidRDefault="005F3D59" w:rsidP="005F3D59">
      <w:r>
        <w:t xml:space="preserve">In terms of the percentage of individuals regularly using internet in 2011, the </w:t>
      </w:r>
      <w:r w:rsidRPr="00322B6E">
        <w:t>CBC area has higher values than both the EU27+4 space and all CBCs, and it performs slightly better than Finland and at the same level as Norway and Sweden, with a low internal disparity.</w:t>
      </w:r>
    </w:p>
    <w:p w:rsidR="005F3D59" w:rsidRDefault="005F3D59" w:rsidP="005F3D59">
      <w:r>
        <w:t xml:space="preserve">According to the classification of the KIT project, MAP 1 identifies two territorial patterns of innovation: </w:t>
      </w:r>
    </w:p>
    <w:p w:rsidR="005F3D59" w:rsidRDefault="005F3D59" w:rsidP="005F3D59">
      <w:pPr>
        <w:pStyle w:val="ListParagraph"/>
        <w:numPr>
          <w:ilvl w:val="0"/>
          <w:numId w:val="25"/>
        </w:numPr>
        <w:rPr>
          <w:szCs w:val="20"/>
        </w:rPr>
      </w:pPr>
      <w:r>
        <w:rPr>
          <w:rFonts w:cstheme="minorHAnsi"/>
          <w:szCs w:val="20"/>
        </w:rPr>
        <w:t xml:space="preserve">‘Applied science area’, in the Swedish and Finnish part. It is associated to </w:t>
      </w:r>
      <w:r>
        <w:rPr>
          <w:szCs w:val="20"/>
        </w:rPr>
        <w:t xml:space="preserve">a quite high generality and originality of science-based local knowledge, and a high degree of attractiveness of knowledge coming from other regions; </w:t>
      </w:r>
    </w:p>
    <w:p w:rsidR="005A5FC4" w:rsidRPr="00D94B3D" w:rsidRDefault="005F3D59" w:rsidP="005F3D59">
      <w:pPr>
        <w:pStyle w:val="ListParagraph"/>
        <w:numPr>
          <w:ilvl w:val="0"/>
          <w:numId w:val="25"/>
        </w:numPr>
        <w:spacing w:after="0" w:line="240" w:lineRule="auto"/>
        <w:jc w:val="left"/>
      </w:pPr>
      <w:r w:rsidRPr="005F3D59">
        <w:rPr>
          <w:rFonts w:cstheme="minorHAnsi"/>
          <w:szCs w:val="20"/>
        </w:rPr>
        <w:t xml:space="preserve"> ‘Creative imitation area’, in the Norwegian side. It is associated to a low knowledge and innovation intensity, entrepreneurship, creativity, a high attractiveness and a high innovation potential.</w:t>
      </w:r>
    </w:p>
    <w:p w:rsidR="00D94B3D" w:rsidRDefault="00D94B3D" w:rsidP="00D94B3D">
      <w:pPr>
        <w:pStyle w:val="ListParagraph"/>
        <w:spacing w:after="0" w:line="240" w:lineRule="auto"/>
        <w:jc w:val="left"/>
      </w:pPr>
    </w:p>
    <w:p w:rsidR="008B0A9A" w:rsidRDefault="008B0A9A">
      <w:pPr>
        <w:spacing w:after="0" w:line="240" w:lineRule="auto"/>
        <w:jc w:val="left"/>
        <w:rPr>
          <w:b/>
        </w:rPr>
      </w:pPr>
      <w:r>
        <w:rPr>
          <w:b/>
        </w:rPr>
        <w:br w:type="page"/>
      </w:r>
    </w:p>
    <w:p w:rsidR="00A06AEA" w:rsidRPr="00206031" w:rsidRDefault="00337872" w:rsidP="00A06AEA">
      <w:pPr>
        <w:rPr>
          <w:b/>
          <w:lang w:val="en-US"/>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C66930">
        <w:rPr>
          <w:b/>
          <w:noProof/>
          <w:lang w:val="en-US" w:eastAsia="de-DE"/>
        </w:rPr>
        <w:t>North</w:t>
      </w:r>
    </w:p>
    <w:p w:rsidR="008A3B96" w:rsidRPr="00A06B5D" w:rsidRDefault="008A3B96" w:rsidP="008A3B96">
      <w:pPr>
        <w:rPr>
          <w:sz w:val="16"/>
          <w:szCs w:val="16"/>
        </w:rPr>
      </w:pPr>
    </w:p>
    <w:p w:rsidR="008A3B96" w:rsidRDefault="007F0B4E" w:rsidP="008A3B96">
      <w:pPr>
        <w:spacing w:after="0" w:line="240" w:lineRule="auto"/>
      </w:pPr>
      <w:r w:rsidRPr="007F0B4E">
        <w:rPr>
          <w:noProof/>
          <w:sz w:val="16"/>
          <w:szCs w:val="16"/>
          <w:lang w:val="de-DE" w:eastAsia="de-DE"/>
        </w:rPr>
        <w:pict>
          <v:oval id="_x0000_s1065" style="position:absolute;left:0;text-align:left;margin-left:185pt;margin-top:3.5pt;width:108.25pt;height:111.55pt;z-index:251729408" filled="f" strokecolor="#0070c0" strokeweight="2pt"/>
        </w:pict>
      </w:r>
      <w:r w:rsidR="00C26021">
        <w:rPr>
          <w:noProof/>
          <w:lang w:val="en-US"/>
        </w:rPr>
        <w:drawing>
          <wp:inline distT="0" distB="0" distL="0" distR="0">
            <wp:extent cx="5278755" cy="6284584"/>
            <wp:effectExtent l="19050" t="0" r="0" b="0"/>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B0A9A" w:rsidRDefault="008B0A9A">
      <w:pPr>
        <w:spacing w:after="0" w:line="240" w:lineRule="auto"/>
        <w:jc w:val="left"/>
        <w:rPr>
          <w:b/>
          <w:bCs/>
          <w:sz w:val="22"/>
          <w:szCs w:val="26"/>
        </w:rPr>
      </w:pPr>
      <w:r>
        <w:br w:type="page"/>
      </w:r>
    </w:p>
    <w:p w:rsidR="004F26B8" w:rsidRDefault="004F26B8" w:rsidP="004F26B8">
      <w:pPr>
        <w:pStyle w:val="Heading3"/>
      </w:pPr>
      <w:r w:rsidRPr="00960DD9">
        <w:lastRenderedPageBreak/>
        <w:t>Sustainable growth</w:t>
      </w:r>
      <w:r w:rsidRPr="00337872">
        <w:t xml:space="preserve"> </w:t>
      </w:r>
    </w:p>
    <w:p w:rsidR="004F26B8" w:rsidRDefault="004F26B8" w:rsidP="00C00C96">
      <w:r>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276DA6">
        <w:t>In the framework of the E</w:t>
      </w:r>
      <w:r w:rsidR="00CC380F">
        <w:t>urope</w:t>
      </w:r>
      <w:r w:rsidR="00276DA6">
        <w:t xml:space="preserve"> 2020 Strategy it means </w:t>
      </w:r>
      <w:r w:rsidR="006D6890">
        <w:t>focus on competitiveness, resource efficiency, climate change and biodiversity</w:t>
      </w:r>
      <w:r w:rsidR="00276DA6">
        <w:t>.</w:t>
      </w:r>
    </w:p>
    <w:p w:rsidR="008F162C" w:rsidRDefault="008F162C" w:rsidP="00C00C96">
      <w:r>
        <w:rPr>
          <w:noProof/>
          <w:lang w:val="en-US"/>
        </w:rPr>
        <w:drawing>
          <wp:anchor distT="0" distB="0" distL="114300" distR="114300" simplePos="0" relativeHeight="251738624" behindDoc="1" locked="0" layoutInCell="1" allowOverlap="1">
            <wp:simplePos x="0" y="0"/>
            <wp:positionH relativeFrom="column">
              <wp:posOffset>17145</wp:posOffset>
            </wp:positionH>
            <wp:positionV relativeFrom="paragraph">
              <wp:posOffset>20320</wp:posOffset>
            </wp:positionV>
            <wp:extent cx="5273675" cy="2647315"/>
            <wp:effectExtent l="19050" t="0" r="3175" b="0"/>
            <wp:wrapTight wrapText="bothSides">
              <wp:wrapPolygon edited="0">
                <wp:start x="-78" y="0"/>
                <wp:lineTo x="-78" y="21450"/>
                <wp:lineTo x="21613" y="21450"/>
                <wp:lineTo x="21613" y="0"/>
                <wp:lineTo x="-78" y="0"/>
              </wp:wrapPolygon>
            </wp:wrapTight>
            <wp:docPr id="9" name="Bild 2" descr="P:\LU_2011_ESPON_TerrEvi_100269\03_Project development\WorkinProgress_FactSheets\Factsheets_CBC_neu\TL_CBC2\CBC Programme Nort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TL_CBC2\CBC Programme North 2.png"/>
                    <pic:cNvPicPr>
                      <a:picLocks noChangeAspect="1" noChangeArrowheads="1"/>
                    </pic:cNvPicPr>
                  </pic:nvPicPr>
                  <pic:blipFill>
                    <a:blip r:embed="rId18" cstate="print"/>
                    <a:srcRect/>
                    <a:stretch>
                      <a:fillRect/>
                    </a:stretch>
                  </pic:blipFill>
                  <pic:spPr bwMode="auto">
                    <a:xfrm>
                      <a:off x="0" y="0"/>
                      <a:ext cx="5273675" cy="2647315"/>
                    </a:xfrm>
                    <a:prstGeom prst="rect">
                      <a:avLst/>
                    </a:prstGeom>
                    <a:noFill/>
                    <a:ln w="9525">
                      <a:noFill/>
                      <a:miter lim="800000"/>
                      <a:headEnd/>
                      <a:tailEnd/>
                    </a:ln>
                  </pic:spPr>
                </pic:pic>
              </a:graphicData>
            </a:graphic>
          </wp:anchor>
        </w:drawing>
      </w:r>
    </w:p>
    <w:p w:rsidR="00F56887" w:rsidRDefault="00960DD9" w:rsidP="00C00C96">
      <w:r w:rsidRPr="00351147">
        <w:t>The use of wind energy could be one of the cornerstones in building a competitive low-carbon economy in the EU.</w:t>
      </w:r>
      <w:r>
        <w:t xml:space="preserve"> The North programme area has exceptionally strong potentials in using this sustainable source of energy, as the CBC median value far exceeds the level of the EU-27+4, all CBC, but even the</w:t>
      </w:r>
      <w:r w:rsidR="00BB1B7F">
        <w:t>,</w:t>
      </w:r>
      <w:r>
        <w:t xml:space="preserve"> otherwise considerably high</w:t>
      </w:r>
      <w:r w:rsidR="00BB1B7F">
        <w:t>,</w:t>
      </w:r>
      <w:r>
        <w:t xml:space="preserve"> potentials of the individual partner member states as well. The ozone concentration is also at a very low level in the European and national contexts. At the same time the area’s level of potential vulnerability to climate change is much below the EU-27+4 and CBC areas’ median levels, and is close to the national values (two of whic</w:t>
      </w:r>
      <w:r w:rsidR="00F56887">
        <w:t>h, Finland and Sweden, is ‘0’).</w:t>
      </w:r>
    </w:p>
    <w:p w:rsidR="00960DD9" w:rsidRDefault="00960DD9" w:rsidP="00C00C96">
      <w:r>
        <w:t xml:space="preserve">BOX-PLOT 2 on combined adaptive capacity to climate change mirrors the strong position of the programme area described by the sustainable growth indicators above. All border regions are in a very strong position when compared to other </w:t>
      </w:r>
      <w:r w:rsidR="00904229">
        <w:t>European</w:t>
      </w:r>
      <w:r>
        <w:t xml:space="preserve"> </w:t>
      </w:r>
      <w:r w:rsidR="00904229">
        <w:t>regions</w:t>
      </w:r>
      <w:r>
        <w:t xml:space="preserve">, as all of them fall within the upper 25% of all </w:t>
      </w:r>
      <w:r w:rsidR="00BB1B7F">
        <w:t>EU-27+5 and CBC</w:t>
      </w:r>
      <w:r>
        <w:t xml:space="preserve"> regions (the Finnish regions of Pohjois-Pohjanmaa and Keski-Pohjanmaa standing at the top of the range). The level of combined adaptive capacity of the border-regions is generally close to the national medians, with the exception of Pohjois-Pohjanmaa and Keski-Pohjanmaa regions that stand out also in the national context.</w:t>
      </w:r>
      <w:r w:rsidR="00BB1B7F">
        <w:t xml:space="preserve"> Disparities within the border region are high with regard to the three selected sustainable growth indicators.</w:t>
      </w:r>
    </w:p>
    <w:p w:rsidR="005A5FC4" w:rsidRDefault="00960DD9" w:rsidP="00C00C96">
      <w:r>
        <w:t xml:space="preserve">MAP 2 shows that Directive 11 has no impact on fossil fuel consumption in the border-area. </w:t>
      </w:r>
    </w:p>
    <w:p w:rsidR="005A5FC4" w:rsidRDefault="005A5FC4" w:rsidP="00C00C96"/>
    <w:p w:rsidR="00041A22" w:rsidRDefault="00041A22">
      <w:pPr>
        <w:spacing w:after="0" w:line="240" w:lineRule="auto"/>
        <w:jc w:val="left"/>
      </w:pPr>
      <w:r>
        <w:br w:type="page"/>
      </w:r>
    </w:p>
    <w:p w:rsidR="00A06AEA" w:rsidRPr="00C33A99" w:rsidRDefault="009F77A8" w:rsidP="00A06AEA">
      <w:pPr>
        <w:rPr>
          <w:b/>
        </w:rPr>
      </w:pPr>
      <w:r w:rsidRPr="00C33A99">
        <w:rPr>
          <w:b/>
        </w:rPr>
        <w:lastRenderedPageBreak/>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C66930">
        <w:rPr>
          <w:b/>
          <w:noProof/>
          <w:lang w:val="en-US" w:eastAsia="de-DE"/>
        </w:rPr>
        <w:t>North</w:t>
      </w:r>
    </w:p>
    <w:p w:rsidR="00D26713" w:rsidRDefault="00D26713" w:rsidP="00D26713">
      <w:pPr>
        <w:spacing w:after="0" w:line="240" w:lineRule="auto"/>
        <w:rPr>
          <w:noProof/>
          <w:lang w:eastAsia="en-GB"/>
        </w:rPr>
      </w:pPr>
    </w:p>
    <w:p w:rsidR="00D26713" w:rsidRDefault="007F0B4E" w:rsidP="00D26713">
      <w:pPr>
        <w:spacing w:after="0" w:line="240" w:lineRule="auto"/>
        <w:rPr>
          <w:noProof/>
          <w:lang w:eastAsia="en-GB"/>
        </w:rPr>
      </w:pPr>
      <w:r w:rsidRPr="007F0B4E">
        <w:rPr>
          <w:noProof/>
          <w:lang w:val="de-DE" w:eastAsia="de-DE"/>
        </w:rPr>
        <w:pict>
          <v:oval id="_x0000_s1066" style="position:absolute;left:0;text-align:left;margin-left:213.15pt;margin-top:9.5pt;width:108.25pt;height:111.55pt;z-index:251730432" filled="f" strokecolor="#0070c0" strokeweight="2pt"/>
        </w:pict>
      </w:r>
      <w:r w:rsidR="00C26021">
        <w:rPr>
          <w:noProof/>
          <w:lang w:val="en-US"/>
        </w:rPr>
        <w:drawing>
          <wp:inline distT="0" distB="0" distL="0" distR="0">
            <wp:extent cx="5278755" cy="5815626"/>
            <wp:effectExtent l="19050" t="0" r="0" b="0"/>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476513" w:rsidRDefault="00476513" w:rsidP="00476513">
      <w:pPr>
        <w:rPr>
          <w:b/>
          <w:noProof/>
          <w:lang w:val="en-US" w:eastAsia="de-DE"/>
        </w:rPr>
      </w:pPr>
      <w:r w:rsidRPr="00133333">
        <w:rPr>
          <w:b/>
        </w:rPr>
        <w:lastRenderedPageBreak/>
        <w:t xml:space="preserve">BOX-PLOT 1 – Combined adaptive capacity to climate change (ESPON CLIMATE project) for the CBC </w:t>
      </w:r>
      <w:r>
        <w:rPr>
          <w:b/>
          <w:noProof/>
          <w:lang w:val="en-US" w:eastAsia="de-DE"/>
        </w:rPr>
        <w:t>North</w:t>
      </w:r>
    </w:p>
    <w:p w:rsidR="002017D9" w:rsidRPr="00021CAB" w:rsidRDefault="002017D9" w:rsidP="002017D9">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476513" w:rsidRDefault="00476513" w:rsidP="00476513">
      <w:pPr>
        <w:spacing w:after="0" w:line="240" w:lineRule="auto"/>
        <w:rPr>
          <w:noProof/>
          <w:lang w:eastAsia="en-GB"/>
        </w:rPr>
      </w:pPr>
      <w:r>
        <w:rPr>
          <w:noProof/>
          <w:lang w:val="en-US"/>
        </w:rPr>
        <w:drawing>
          <wp:inline distT="0" distB="0" distL="0" distR="0">
            <wp:extent cx="5278755" cy="4225542"/>
            <wp:effectExtent l="1905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278755" cy="4225542"/>
                    </a:xfrm>
                    <a:prstGeom prst="rect">
                      <a:avLst/>
                    </a:prstGeom>
                    <a:noFill/>
                    <a:ln w="9525">
                      <a:noFill/>
                      <a:miter lim="800000"/>
                      <a:headEnd/>
                      <a:tailEnd/>
                    </a:ln>
                  </pic:spPr>
                </pic:pic>
              </a:graphicData>
            </a:graphic>
          </wp:inline>
        </w:drawing>
      </w:r>
    </w:p>
    <w:p w:rsidR="00476513" w:rsidRPr="006F0BC4" w:rsidRDefault="00476513" w:rsidP="00476513">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476513" w:rsidRPr="006F0BC4" w:rsidRDefault="00476513" w:rsidP="00476513">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476513" w:rsidRPr="006F0BC4" w:rsidRDefault="00476513" w:rsidP="00476513">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476513" w:rsidRPr="006F0BC4" w:rsidRDefault="00476513" w:rsidP="00476513">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2371D8" w:rsidRPr="00476513" w:rsidRDefault="002371D8" w:rsidP="006E618B">
      <w:pPr>
        <w:spacing w:after="0" w:line="240" w:lineRule="auto"/>
        <w:rPr>
          <w:noProof/>
          <w:lang w:val="en-US"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BB1B7F">
        <w:lastRenderedPageBreak/>
        <w:t>Inclusive growth</w:t>
      </w:r>
      <w:r>
        <w:t xml:space="preserve"> </w:t>
      </w:r>
    </w:p>
    <w:p w:rsidR="00151954" w:rsidRDefault="00B135A2" w:rsidP="00B135A2">
      <w:r>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495B6F" w:rsidRDefault="008F162C" w:rsidP="00B135A2">
      <w:r>
        <w:rPr>
          <w:noProof/>
          <w:lang w:val="en-US"/>
        </w:rPr>
        <w:drawing>
          <wp:anchor distT="0" distB="0" distL="114300" distR="114300" simplePos="0" relativeHeight="251739648" behindDoc="1" locked="0" layoutInCell="1" allowOverlap="1">
            <wp:simplePos x="0" y="0"/>
            <wp:positionH relativeFrom="column">
              <wp:posOffset>13970</wp:posOffset>
            </wp:positionH>
            <wp:positionV relativeFrom="paragraph">
              <wp:posOffset>3175</wp:posOffset>
            </wp:positionV>
            <wp:extent cx="5273675" cy="2338705"/>
            <wp:effectExtent l="19050" t="0" r="3175" b="0"/>
            <wp:wrapTight wrapText="bothSides">
              <wp:wrapPolygon edited="0">
                <wp:start x="-78" y="0"/>
                <wp:lineTo x="-78" y="21465"/>
                <wp:lineTo x="21613" y="21465"/>
                <wp:lineTo x="21613" y="0"/>
                <wp:lineTo x="-78" y="0"/>
              </wp:wrapPolygon>
            </wp:wrapTight>
            <wp:docPr id="10" name="Bild 3" descr="P:\LU_2011_ESPON_TerrEvi_100269\03_Project development\WorkinProgress_FactSheets\Factsheets_CBC_neu\TL_CBC2\CBC Programme Nort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Factsheets_CBC_neu\TL_CBC2\CBC Programme North 3.png"/>
                    <pic:cNvPicPr>
                      <a:picLocks noChangeAspect="1" noChangeArrowheads="1"/>
                    </pic:cNvPicPr>
                  </pic:nvPicPr>
                  <pic:blipFill>
                    <a:blip r:embed="rId21" cstate="print"/>
                    <a:srcRect/>
                    <a:stretch>
                      <a:fillRect/>
                    </a:stretch>
                  </pic:blipFill>
                  <pic:spPr bwMode="auto">
                    <a:xfrm>
                      <a:off x="0" y="0"/>
                      <a:ext cx="5273675" cy="2338705"/>
                    </a:xfrm>
                    <a:prstGeom prst="rect">
                      <a:avLst/>
                    </a:prstGeom>
                    <a:noFill/>
                    <a:ln w="9525">
                      <a:noFill/>
                      <a:miter lim="800000"/>
                      <a:headEnd/>
                      <a:tailEnd/>
                    </a:ln>
                  </pic:spPr>
                </pic:pic>
              </a:graphicData>
            </a:graphic>
          </wp:anchor>
        </w:drawing>
      </w:r>
      <w:r w:rsidR="00BB1B7F">
        <w:t xml:space="preserve">The employment situation in the border-area is also favourable, and the CBC region generally performs better than the EU-27+4, all CBC areas and Finland. Norway has a lower long-term unemployment </w:t>
      </w:r>
      <w:r w:rsidR="00904229">
        <w:t xml:space="preserve">rate </w:t>
      </w:r>
      <w:r w:rsidR="00BB1B7F">
        <w:t>and people at risk of poverty rate than the border area, while Sweden has the same long-term unemployment rate and generally counts relatively more people at risk of poverty than the programme-area. The border-region has a higher share of persons aged 25-64 and 20-24 with upper secondary or tertiary education attainment than the relevant European and national medians.</w:t>
      </w:r>
      <w:r w:rsidR="006F21B3">
        <w:t xml:space="preserve"> The employment rate in the NUTS3 border-regions is generally close to the EU-27+4 and all CBC medians. In the Finnish context, the region of Keski-Pohjanmaa has a particularly high employment rate, while the region of Lappi </w:t>
      </w:r>
      <w:r w:rsidR="00904229">
        <w:t xml:space="preserve">has relatively fewer employed people (the region </w:t>
      </w:r>
      <w:r w:rsidR="006F21B3">
        <w:t xml:space="preserve">stand at the lower end of the </w:t>
      </w:r>
      <w:r w:rsidR="00904229">
        <w:t xml:space="preserve">national </w:t>
      </w:r>
      <w:r w:rsidR="006F21B3">
        <w:t>spectrum</w:t>
      </w:r>
      <w:r w:rsidR="00904229">
        <w:t>)</w:t>
      </w:r>
      <w:r w:rsidR="00495B6F">
        <w:t>.</w:t>
      </w:r>
    </w:p>
    <w:p w:rsidR="006F21B3" w:rsidRDefault="00495B6F" w:rsidP="00B135A2">
      <w:r>
        <w:t xml:space="preserve">The ESPON DEMIFER project predicts labour force decrease until 2050 in the border region. While the ‘Growing social Europe’ scenario sees minor reductions only, the ‘Limited Social Europe’ and ‘Challenged Market Europe’ scenarios estimate </w:t>
      </w:r>
      <w:r w:rsidR="00DC1881">
        <w:t xml:space="preserve">a </w:t>
      </w:r>
      <w:r>
        <w:t xml:space="preserve">more considerable </w:t>
      </w:r>
      <w:r w:rsidR="00DC1881">
        <w:t>decrease</w:t>
      </w:r>
      <w:r>
        <w:t xml:space="preserve"> in the labour force. Finally, the ‘Expanding Market Europe’ scenario foresees a limited increase in the labour force for the whole border-area.</w:t>
      </w:r>
    </w:p>
    <w:p w:rsidR="00E56193" w:rsidRDefault="00E56193" w:rsidP="00B135A2"/>
    <w:p w:rsidR="00E56193" w:rsidRDefault="00E56193" w:rsidP="00B135A2"/>
    <w:p w:rsidR="00104631" w:rsidRDefault="00104631">
      <w:pPr>
        <w:spacing w:after="0" w:line="240" w:lineRule="auto"/>
        <w:jc w:val="left"/>
        <w:rPr>
          <w:noProof/>
          <w:lang w:eastAsia="en-GB"/>
        </w:rPr>
      </w:pPr>
      <w:r>
        <w:rPr>
          <w:noProof/>
          <w:lang w:eastAsia="en-GB"/>
        </w:rPr>
        <w:br w:type="page"/>
      </w:r>
    </w:p>
    <w:p w:rsidR="005A5FC4" w:rsidRPr="00C33A99" w:rsidRDefault="00016B50" w:rsidP="005A5FC4">
      <w:pPr>
        <w:rPr>
          <w:b/>
        </w:rPr>
      </w:pPr>
      <w:r>
        <w:rPr>
          <w:b/>
        </w:rPr>
        <w:lastRenderedPageBreak/>
        <w:t xml:space="preserve">MAP 3 – </w:t>
      </w:r>
      <w:r w:rsidR="00C04A1F" w:rsidRPr="00C33A99">
        <w:rPr>
          <w:b/>
        </w:rPr>
        <w:t>Change in Labour Force 2005-2050 (ESPON DEMIFER project)</w:t>
      </w:r>
      <w:r w:rsidR="002371D8">
        <w:rPr>
          <w:b/>
        </w:rPr>
        <w:t xml:space="preserve"> for the CBC </w:t>
      </w:r>
      <w:r w:rsidR="00C66930">
        <w:rPr>
          <w:b/>
          <w:noProof/>
          <w:lang w:val="en-US" w:eastAsia="de-DE"/>
        </w:rPr>
        <w:t>North</w:t>
      </w:r>
    </w:p>
    <w:p w:rsidR="0089569C" w:rsidRDefault="0089569C" w:rsidP="0089569C">
      <w:pPr>
        <w:spacing w:after="0" w:line="240" w:lineRule="auto"/>
        <w:rPr>
          <w:noProof/>
          <w:lang w:eastAsia="en-GB"/>
        </w:rPr>
      </w:pPr>
    </w:p>
    <w:p w:rsidR="0089569C" w:rsidRDefault="007F0B4E" w:rsidP="0089569C">
      <w:pPr>
        <w:spacing w:after="0" w:line="240" w:lineRule="auto"/>
        <w:rPr>
          <w:noProof/>
          <w:lang w:eastAsia="en-GB"/>
        </w:rPr>
      </w:pPr>
      <w:r w:rsidRPr="007F0B4E">
        <w:rPr>
          <w:noProof/>
          <w:lang w:val="de-DE" w:eastAsia="de-DE"/>
        </w:rPr>
        <w:pict>
          <v:oval id="_x0000_s1070" style="position:absolute;left:0;text-align:left;margin-left:308.75pt;margin-top:210.9pt;width:54.95pt;height:56.65pt;z-index:251734528" filled="f" strokecolor="#0070c0" strokeweight="2pt"/>
        </w:pict>
      </w:r>
      <w:r w:rsidRPr="007F0B4E">
        <w:rPr>
          <w:noProof/>
          <w:lang w:val="de-DE" w:eastAsia="de-DE"/>
        </w:rPr>
        <w:pict>
          <v:oval id="_x0000_s1069" style="position:absolute;left:0;text-align:left;margin-left:109.2pt;margin-top:210.9pt;width:54.95pt;height:56.65pt;z-index:251733504" filled="f" strokecolor="#0070c0" strokeweight="2pt"/>
        </w:pict>
      </w:r>
      <w:r w:rsidRPr="007F0B4E">
        <w:rPr>
          <w:noProof/>
          <w:lang w:val="de-DE" w:eastAsia="de-DE"/>
        </w:rPr>
        <w:pict>
          <v:oval id="_x0000_s1068" style="position:absolute;left:0;text-align:left;margin-left:308.75pt;margin-top:7.2pt;width:54.95pt;height:56.65pt;z-index:251732480" filled="f" strokecolor="#0070c0" strokeweight="2pt"/>
        </w:pict>
      </w:r>
      <w:r w:rsidRPr="007F0B4E">
        <w:rPr>
          <w:noProof/>
          <w:lang w:val="de-DE" w:eastAsia="de-DE"/>
        </w:rPr>
        <w:pict>
          <v:oval id="_x0000_s1067" style="position:absolute;left:0;text-align:left;margin-left:109.2pt;margin-top:7.2pt;width:54.95pt;height:56.65pt;z-index:251731456" filled="f" strokecolor="#0070c0" strokeweight="2pt"/>
        </w:pict>
      </w:r>
      <w:r w:rsidR="00A147C1">
        <w:rPr>
          <w:noProof/>
          <w:lang w:val="en-US"/>
        </w:rPr>
        <w:drawing>
          <wp:inline distT="0" distB="0" distL="0" distR="0">
            <wp:extent cx="5278755" cy="6911340"/>
            <wp:effectExtent l="19050" t="0" r="0" b="0"/>
            <wp:docPr id="13" name="Grafik 12"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2"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476513" w:rsidRDefault="00476513" w:rsidP="00476513">
      <w:pPr>
        <w:rPr>
          <w:i/>
          <w:noProof/>
          <w:lang w:eastAsia="en-GB"/>
        </w:rPr>
      </w:pPr>
      <w:r w:rsidRPr="00133333">
        <w:rPr>
          <w:b/>
        </w:rPr>
        <w:lastRenderedPageBreak/>
        <w:t xml:space="preserve">BOX-PLOT 2 – Employment rate 2010 within the CBC </w:t>
      </w:r>
      <w:r>
        <w:rPr>
          <w:b/>
          <w:noProof/>
          <w:lang w:val="en-US" w:eastAsia="de-DE"/>
        </w:rPr>
        <w:t>North</w:t>
      </w:r>
    </w:p>
    <w:p w:rsidR="00476513" w:rsidRDefault="00476513" w:rsidP="00476513">
      <w:pPr>
        <w:rPr>
          <w:i/>
          <w:noProof/>
          <w:lang w:eastAsia="en-GB"/>
        </w:rPr>
      </w:pPr>
      <w:r>
        <w:rPr>
          <w:i/>
          <w:noProof/>
          <w:lang w:val="en-US"/>
        </w:rPr>
        <w:drawing>
          <wp:anchor distT="0" distB="0" distL="114300" distR="114300" simplePos="0" relativeHeight="251727360" behindDoc="1" locked="0" layoutInCell="1" allowOverlap="1">
            <wp:simplePos x="0" y="0"/>
            <wp:positionH relativeFrom="column">
              <wp:posOffset>0</wp:posOffset>
            </wp:positionH>
            <wp:positionV relativeFrom="paragraph">
              <wp:posOffset>69215</wp:posOffset>
            </wp:positionV>
            <wp:extent cx="5276850" cy="4229100"/>
            <wp:effectExtent l="19050" t="0" r="0" b="0"/>
            <wp:wrapTight wrapText="bothSides">
              <wp:wrapPolygon edited="0">
                <wp:start x="-78" y="0"/>
                <wp:lineTo x="-78" y="21503"/>
                <wp:lineTo x="21600" y="21503"/>
                <wp:lineTo x="21600" y="0"/>
                <wp:lineTo x="-78"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276850" cy="4229100"/>
                    </a:xfrm>
                    <a:prstGeom prst="rect">
                      <a:avLst/>
                    </a:prstGeom>
                    <a:noFill/>
                    <a:ln w="9525">
                      <a:noFill/>
                      <a:miter lim="800000"/>
                      <a:headEnd/>
                      <a:tailEnd/>
                    </a:ln>
                  </pic:spPr>
                </pic:pic>
              </a:graphicData>
            </a:graphic>
          </wp:anchor>
        </w:drawing>
      </w:r>
    </w:p>
    <w:p w:rsidR="00476513" w:rsidRPr="00383954" w:rsidRDefault="00476513" w:rsidP="00476513">
      <w:pPr>
        <w:rPr>
          <w:i/>
          <w:noProof/>
          <w:lang w:eastAsia="en-GB"/>
        </w:rPr>
      </w:pPr>
      <w:r w:rsidRPr="00383954">
        <w:rPr>
          <w:i/>
          <w:noProof/>
          <w:lang w:eastAsia="en-GB"/>
        </w:rPr>
        <w:t xml:space="preserve">(see “How to read the box-plots?” on page </w:t>
      </w:r>
      <w:r w:rsidR="008B0A9A">
        <w:rPr>
          <w:i/>
          <w:noProof/>
          <w:lang w:eastAsia="en-GB"/>
        </w:rPr>
        <w:t>8</w:t>
      </w:r>
      <w:r w:rsidRPr="00383954">
        <w:rPr>
          <w:i/>
          <w:noProof/>
          <w:lang w:eastAsia="en-GB"/>
        </w:rPr>
        <w:t>)</w:t>
      </w:r>
    </w:p>
    <w:p w:rsidR="00383954" w:rsidRPr="00383954" w:rsidRDefault="00383954" w:rsidP="00D30230">
      <w:pPr>
        <w:rPr>
          <w:i/>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5F3D59" w:rsidRDefault="005761A6" w:rsidP="005761A6">
      <w:pPr>
        <w:pStyle w:val="Heading1"/>
      </w:pPr>
      <w:r w:rsidRPr="005F3D59">
        <w:lastRenderedPageBreak/>
        <w:t xml:space="preserve">Territorial factors of interest for the programme area </w:t>
      </w:r>
    </w:p>
    <w:p w:rsidR="005F3D59" w:rsidRDefault="005F3D59" w:rsidP="005F3D59">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5F3D59" w:rsidRDefault="005F3D59" w:rsidP="005F3D59">
      <w:r>
        <w:t xml:space="preserve">In a European perspective the programme area is characterised as rural and partly intermediate (in-between rural and urban), with some regions being close to a city and some being remote. The urban centres in the programme area are e.g. Bodø, Kiruna, Luleå, Umeå and Oulu. Otherwise, the programme is largely characterised by small settlements and low population density. </w:t>
      </w:r>
    </w:p>
    <w:p w:rsidR="005F3D59" w:rsidRDefault="005F3D59" w:rsidP="005F3D59">
      <w:r>
        <w:t xml:space="preserve">Being in the periphery of Europe, the multimodal accessibility of the programme area is below European average. So is also the number of border crossings per 100 km border. This is directly linked to the settlement structure and the low urban potential which also implies that there are only limited possibilities for building cross-border functional areas. </w:t>
      </w:r>
    </w:p>
    <w:p w:rsidR="005F3D59" w:rsidRDefault="005F3D59" w:rsidP="005F3D59">
      <w:r>
        <w:t xml:space="preserve">In a European perspective the main geographical characteristic of the programme is the one of a sparsely populated area. Furthermore, some parts of the programme area are characterised as coastal and some as mountainous. </w:t>
      </w:r>
      <w:r w:rsidRPr="0032010C">
        <w:t>ESPON GEOSPECS has developed nexus model</w:t>
      </w:r>
      <w:r>
        <w:t>s</w:t>
      </w:r>
      <w:r w:rsidRPr="0032010C">
        <w:t xml:space="preserve"> for </w:t>
      </w:r>
      <w:r>
        <w:t xml:space="preserve">sparsely populated areas (see figure), as well as for coastal and mountainous </w:t>
      </w:r>
      <w:r w:rsidRPr="0032010C">
        <w:t>regions</w:t>
      </w:r>
      <w:r>
        <w:t>. These models link</w:t>
      </w:r>
      <w:r w:rsidRPr="0032010C">
        <w:t xml:space="preserve"> defining features via intermediary process to development challenges and opportuni</w:t>
      </w:r>
      <w:r>
        <w:t>ties. The below figure is an example for sparsely populated areas. The</w:t>
      </w:r>
      <w:r w:rsidRPr="0032010C">
        <w:t>s</w:t>
      </w:r>
      <w:r>
        <w:t>e</w:t>
      </w:r>
      <w:r w:rsidRPr="0032010C">
        <w:t xml:space="preserve"> model</w:t>
      </w:r>
      <w:r>
        <w:t>s</w:t>
      </w:r>
      <w:r w:rsidRPr="0032010C">
        <w:t xml:space="preserve"> can be of interest </w:t>
      </w:r>
      <w:r>
        <w:t xml:space="preserve">also </w:t>
      </w:r>
      <w:r w:rsidRPr="0032010C">
        <w:t xml:space="preserve">for further developing the discussion about the challenges and opportunities in the programme area. </w:t>
      </w:r>
    </w:p>
    <w:p w:rsidR="005F3D59" w:rsidRDefault="005F3D59" w:rsidP="005F3D59">
      <w:r>
        <w:t xml:space="preserve">Furthermore, ESPON TEDI has devoted a special case study to some parts of the programme area, which provides additional insights on the territorial challenges and potentials in the area. </w:t>
      </w:r>
    </w:p>
    <w:p w:rsidR="005F3D59" w:rsidRDefault="005F3D59" w:rsidP="005F3D59">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FINAL REPORT, PAGE 102:</w:t>
      </w:r>
      <w:r>
        <w:rPr>
          <w:rFonts w:cs="Calibri"/>
          <w:sz w:val="18"/>
          <w:szCs w:val="20"/>
          <w:lang w:eastAsia="fr-FR"/>
        </w:rPr>
        <w:br/>
        <w:t>Nexus model for sparsely populated areas</w:t>
      </w:r>
    </w:p>
    <w:p w:rsidR="005F3D59" w:rsidRDefault="005F3D59" w:rsidP="005F3D59">
      <w:pPr>
        <w:shd w:val="clear" w:color="auto" w:fill="F2F2F2" w:themeFill="background1" w:themeFillShade="F2"/>
        <w:spacing w:after="0" w:line="240" w:lineRule="auto"/>
        <w:jc w:val="center"/>
        <w:rPr>
          <w:rFonts w:cs="Calibri"/>
          <w:sz w:val="18"/>
          <w:szCs w:val="20"/>
          <w:lang w:eastAsia="fr-FR"/>
        </w:rPr>
      </w:pPr>
      <w:r w:rsidRPr="00F03B9D">
        <w:rPr>
          <w:noProof/>
          <w:lang w:val="en-US"/>
        </w:rPr>
        <w:drawing>
          <wp:inline distT="0" distB="0" distL="0" distR="0">
            <wp:extent cx="5278755" cy="3129958"/>
            <wp:effectExtent l="25400" t="0" r="4445"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5278755" cy="3129958"/>
                    </a:xfrm>
                    <a:prstGeom prst="rect">
                      <a:avLst/>
                    </a:prstGeom>
                    <a:noFill/>
                    <a:ln w="9525">
                      <a:noFill/>
                      <a:miter lim="800000"/>
                      <a:headEnd/>
                      <a:tailEnd/>
                    </a:ln>
                  </pic:spPr>
                </pic:pic>
              </a:graphicData>
            </a:graphic>
          </wp:inline>
        </w:drawing>
      </w:r>
    </w:p>
    <w:p w:rsidR="005F3D59" w:rsidRPr="00AC0338" w:rsidRDefault="005F3D59" w:rsidP="005F3D59">
      <w:pPr>
        <w:shd w:val="clear" w:color="auto" w:fill="F2F2F2" w:themeFill="background1" w:themeFillShade="F2"/>
        <w:spacing w:after="0" w:line="240" w:lineRule="auto"/>
        <w:jc w:val="center"/>
        <w:rPr>
          <w:rFonts w:cs="Calibri"/>
          <w:sz w:val="18"/>
          <w:szCs w:val="20"/>
          <w:lang w:eastAsia="fr-FR"/>
        </w:rPr>
      </w:pPr>
    </w:p>
    <w:p w:rsidR="005F3D59" w:rsidRDefault="005F3D59" w:rsidP="005F3D59">
      <w:pPr>
        <w:spacing w:after="0" w:line="240" w:lineRule="auto"/>
        <w:jc w:val="left"/>
      </w:pPr>
      <w:r>
        <w:br w:type="page"/>
      </w:r>
    </w:p>
    <w:p w:rsidR="005A5FC4" w:rsidRPr="00C33A99" w:rsidRDefault="0019394E" w:rsidP="005A5FC4">
      <w:pPr>
        <w:rPr>
          <w: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C66930">
        <w:rPr>
          <w:b/>
          <w:noProof/>
          <w:lang w:val="en-US" w:eastAsia="de-DE"/>
        </w:rPr>
        <w:t>North</w:t>
      </w:r>
    </w:p>
    <w:p w:rsidR="0089569C" w:rsidRDefault="0089569C" w:rsidP="0089569C">
      <w:pPr>
        <w:spacing w:after="0" w:line="240" w:lineRule="auto"/>
        <w:jc w:val="left"/>
        <w:rPr>
          <w:noProof/>
          <w:lang w:eastAsia="en-GB"/>
        </w:rPr>
      </w:pPr>
    </w:p>
    <w:p w:rsidR="0089569C" w:rsidRDefault="007F0B4E" w:rsidP="0089569C">
      <w:pPr>
        <w:spacing w:after="0" w:line="240" w:lineRule="auto"/>
        <w:jc w:val="left"/>
        <w:rPr>
          <w:noProof/>
          <w:lang w:eastAsia="en-GB"/>
        </w:rPr>
      </w:pPr>
      <w:r w:rsidRPr="007F0B4E">
        <w:rPr>
          <w:noProof/>
          <w:lang w:val="de-DE" w:eastAsia="de-DE"/>
        </w:rPr>
        <w:pict>
          <v:oval id="_x0000_s1071" style="position:absolute;margin-left:187.9pt;margin-top:1.95pt;width:96.4pt;height:99.35pt;z-index:251735552" filled="f" strokecolor="#0070c0" strokeweight="2pt"/>
        </w:pict>
      </w:r>
      <w:r w:rsidR="00C26021">
        <w:rPr>
          <w:noProof/>
          <w:lang w:val="en-US"/>
        </w:rPr>
        <w:drawing>
          <wp:inline distT="0" distB="0" distL="0" distR="0">
            <wp:extent cx="5278755" cy="7214065"/>
            <wp:effectExtent l="19050" t="0" r="0" b="0"/>
            <wp:docPr id="1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1038DE" w:rsidRPr="0085195F" w:rsidRDefault="001038DE" w:rsidP="001038DE">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5A5FC4" w:rsidRDefault="00016B50" w:rsidP="005A5FC4">
      <w:pPr>
        <w:rPr>
          <w:b/>
          <w:noProof/>
          <w:lang w:val="en-US" w:eastAsia="de-DE"/>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C66930">
        <w:rPr>
          <w:b/>
          <w:noProof/>
          <w:lang w:val="en-US" w:eastAsia="de-DE"/>
        </w:rPr>
        <w:t>North</w:t>
      </w:r>
    </w:p>
    <w:p w:rsidR="002017D9" w:rsidRPr="00021CAB" w:rsidRDefault="002017D9" w:rsidP="002017D9">
      <w:pPr>
        <w:spacing w:after="240"/>
        <w:rPr>
          <w:i/>
        </w:rPr>
      </w:pPr>
      <w:r w:rsidRPr="00021CAB">
        <w:rPr>
          <w:i/>
        </w:rPr>
        <w:t>“Potential Accessibility Multimodal” scores accessibility of NUTS 3 regions by road, rail and air relative to the European average in an Accessibility Index.</w:t>
      </w:r>
    </w:p>
    <w:p w:rsidR="0089569C" w:rsidRDefault="007F0B4E" w:rsidP="0089569C">
      <w:pPr>
        <w:spacing w:after="0" w:line="240" w:lineRule="auto"/>
        <w:jc w:val="left"/>
        <w:rPr>
          <w:noProof/>
          <w:lang w:eastAsia="en-GB"/>
        </w:rPr>
      </w:pPr>
      <w:r w:rsidRPr="007F0B4E">
        <w:rPr>
          <w:i/>
          <w:noProof/>
          <w:lang w:val="de-DE" w:eastAsia="de-DE"/>
        </w:rPr>
        <w:pict>
          <v:oval id="_x0000_s1072" style="position:absolute;margin-left:188.45pt;margin-top:1.65pt;width:101.55pt;height:104.7pt;z-index:251736576" filled="f" strokecolor="#0070c0" strokeweight="2pt"/>
        </w:pict>
      </w:r>
      <w:r w:rsidR="00A147C1">
        <w:rPr>
          <w:noProof/>
          <w:lang w:val="en-US"/>
        </w:rPr>
        <w:drawing>
          <wp:inline distT="0" distB="0" distL="0" distR="0">
            <wp:extent cx="5278755" cy="7444105"/>
            <wp:effectExtent l="19050" t="0" r="0" b="0"/>
            <wp:docPr id="15" name="Grafik 14"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6"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5F3D59" w:rsidRDefault="005A5FC4" w:rsidP="0019394E">
      <w:pPr>
        <w:pStyle w:val="Heading1"/>
      </w:pPr>
      <w:r w:rsidRPr="005F3D59">
        <w:lastRenderedPageBreak/>
        <w:t>Recommended ESPON reading</w:t>
      </w:r>
    </w:p>
    <w:p w:rsidR="005F3D59" w:rsidRDefault="005F3D59" w:rsidP="005F3D59">
      <w:pPr>
        <w:spacing w:after="0"/>
      </w:pPr>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5F3D59" w:rsidRDefault="005F3D59" w:rsidP="005F3D59">
      <w:pPr>
        <w:spacing w:after="0"/>
      </w:pPr>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5F3D59" w:rsidRPr="00A0472D" w:rsidTr="00066A2F">
        <w:trPr>
          <w:trHeight w:val="203"/>
        </w:trPr>
        <w:tc>
          <w:tcPr>
            <w:tcW w:w="1276" w:type="dxa"/>
            <w:shd w:val="clear" w:color="auto" w:fill="auto"/>
          </w:tcPr>
          <w:p w:rsidR="005F3D59" w:rsidRPr="00A0472D" w:rsidRDefault="005F3D59" w:rsidP="00066A2F">
            <w:pPr>
              <w:spacing w:after="0" w:line="20" w:lineRule="atLeast"/>
              <w:rPr>
                <w:b/>
                <w:sz w:val="18"/>
                <w:szCs w:val="18"/>
              </w:rPr>
            </w:pPr>
            <w:r w:rsidRPr="00A0472D">
              <w:rPr>
                <w:b/>
                <w:sz w:val="18"/>
                <w:szCs w:val="18"/>
              </w:rPr>
              <w:t>ESPON study</w:t>
            </w:r>
          </w:p>
        </w:tc>
        <w:tc>
          <w:tcPr>
            <w:tcW w:w="1418" w:type="dxa"/>
            <w:shd w:val="clear" w:color="auto" w:fill="auto"/>
          </w:tcPr>
          <w:p w:rsidR="005F3D59" w:rsidRPr="00A0472D" w:rsidRDefault="005F3D59" w:rsidP="00066A2F">
            <w:pPr>
              <w:spacing w:after="0" w:line="20" w:lineRule="atLeast"/>
              <w:rPr>
                <w:b/>
                <w:sz w:val="18"/>
                <w:szCs w:val="18"/>
              </w:rPr>
            </w:pPr>
            <w:r w:rsidRPr="00A0472D">
              <w:rPr>
                <w:b/>
                <w:sz w:val="18"/>
                <w:szCs w:val="18"/>
              </w:rPr>
              <w:t>Topic</w:t>
            </w:r>
          </w:p>
        </w:tc>
        <w:tc>
          <w:tcPr>
            <w:tcW w:w="5670" w:type="dxa"/>
            <w:shd w:val="clear" w:color="auto" w:fill="auto"/>
          </w:tcPr>
          <w:p w:rsidR="005F3D59" w:rsidRPr="00A0472D" w:rsidRDefault="005F3D59" w:rsidP="00066A2F">
            <w:pPr>
              <w:spacing w:after="0" w:line="20" w:lineRule="atLeast"/>
              <w:rPr>
                <w:b/>
                <w:sz w:val="18"/>
                <w:szCs w:val="18"/>
              </w:rPr>
            </w:pPr>
            <w:r w:rsidRPr="00A0472D">
              <w:rPr>
                <w:b/>
                <w:sz w:val="18"/>
                <w:szCs w:val="18"/>
              </w:rPr>
              <w:t>Content</w:t>
            </w:r>
          </w:p>
        </w:tc>
      </w:tr>
      <w:tr w:rsidR="005F3D59" w:rsidRPr="00A0472D" w:rsidTr="00066A2F">
        <w:trPr>
          <w:trHeight w:val="274"/>
        </w:trPr>
        <w:tc>
          <w:tcPr>
            <w:tcW w:w="1276" w:type="dxa"/>
            <w:shd w:val="clear" w:color="auto" w:fill="FFFFFF" w:themeFill="background1"/>
          </w:tcPr>
          <w:p w:rsidR="005F3D59" w:rsidRPr="00A0472D" w:rsidRDefault="005F3D59" w:rsidP="00066A2F">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5F3D59" w:rsidRPr="00A0472D" w:rsidRDefault="005F3D59" w:rsidP="00066A2F">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5F3D59" w:rsidRPr="00A0472D" w:rsidRDefault="005F3D59" w:rsidP="00066A2F">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5F3D59" w:rsidRPr="00A0472D" w:rsidTr="00066A2F">
        <w:trPr>
          <w:trHeight w:val="274"/>
        </w:trPr>
        <w:tc>
          <w:tcPr>
            <w:tcW w:w="1276" w:type="dxa"/>
            <w:shd w:val="clear" w:color="auto" w:fill="FFFFFF" w:themeFill="background1"/>
          </w:tcPr>
          <w:p w:rsidR="005F3D59" w:rsidRPr="00A0472D" w:rsidRDefault="005F3D59" w:rsidP="00066A2F">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5F3D59" w:rsidRPr="00A0472D" w:rsidRDefault="005F3D59" w:rsidP="00066A2F">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5F3D59" w:rsidRPr="00A0472D" w:rsidRDefault="005F3D59" w:rsidP="00066A2F">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5F3D59" w:rsidRPr="00A0472D" w:rsidTr="00066A2F">
        <w:trPr>
          <w:trHeight w:val="274"/>
        </w:trPr>
        <w:tc>
          <w:tcPr>
            <w:tcW w:w="1276" w:type="dxa"/>
            <w:shd w:val="clear" w:color="auto" w:fill="FFFFFF" w:themeFill="background1"/>
          </w:tcPr>
          <w:p w:rsidR="005F3D59" w:rsidRPr="00A0472D" w:rsidRDefault="005F3D59" w:rsidP="00066A2F">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5F3D59" w:rsidRPr="00A0472D" w:rsidRDefault="005F3D59" w:rsidP="00066A2F">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5F3D59" w:rsidRPr="00A0472D" w:rsidRDefault="005F3D59" w:rsidP="00066A2F">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5F3D59" w:rsidRPr="00A0472D" w:rsidTr="00066A2F">
        <w:trPr>
          <w:trHeight w:val="274"/>
        </w:trPr>
        <w:tc>
          <w:tcPr>
            <w:tcW w:w="1276" w:type="dxa"/>
            <w:shd w:val="clear" w:color="auto" w:fill="FFFFFF" w:themeFill="background1"/>
          </w:tcPr>
          <w:p w:rsidR="005F3D59" w:rsidRPr="00A0472D" w:rsidRDefault="005F3D59" w:rsidP="00066A2F">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5F3D59" w:rsidRPr="00A0472D" w:rsidRDefault="005F3D59" w:rsidP="00066A2F">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5F3D59" w:rsidRPr="00A0472D" w:rsidRDefault="005F3D59" w:rsidP="00066A2F">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5F3D59" w:rsidRPr="00A0472D" w:rsidTr="00066A2F">
        <w:trPr>
          <w:trHeight w:val="274"/>
        </w:trPr>
        <w:tc>
          <w:tcPr>
            <w:tcW w:w="1276" w:type="dxa"/>
            <w:shd w:val="clear" w:color="auto" w:fill="FFFFFF" w:themeFill="background1"/>
          </w:tcPr>
          <w:p w:rsidR="005F3D59" w:rsidRPr="00A0472D" w:rsidRDefault="005F3D59" w:rsidP="00066A2F">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5F3D59" w:rsidRPr="00A0472D" w:rsidRDefault="005F3D59" w:rsidP="00066A2F">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5F3D59" w:rsidRPr="00A0472D" w:rsidRDefault="005F3D59" w:rsidP="00066A2F">
            <w:pPr>
              <w:spacing w:after="0" w:line="20" w:lineRule="atLeast"/>
              <w:rPr>
                <w:rFonts w:cs="Calibri"/>
                <w:sz w:val="18"/>
                <w:szCs w:val="18"/>
                <w:lang w:eastAsia="fr-FR"/>
              </w:rPr>
            </w:pPr>
            <w:r w:rsidRPr="00A0472D">
              <w:rPr>
                <w:rFonts w:cs="Calibri"/>
                <w:sz w:val="18"/>
                <w:szCs w:val="18"/>
                <w:lang w:eastAsia="fr-FR"/>
              </w:rPr>
              <w:t xml:space="preserve">It develops a method providing guidance on how ESPON results can add value to support territorial cooperation programmes (see map 27 and from map 36 to 39). </w:t>
            </w:r>
          </w:p>
        </w:tc>
      </w:tr>
      <w:tr w:rsidR="005F3D59" w:rsidRPr="00A0472D" w:rsidTr="00066A2F">
        <w:trPr>
          <w:trHeight w:val="274"/>
        </w:trPr>
        <w:tc>
          <w:tcPr>
            <w:tcW w:w="1276" w:type="dxa"/>
            <w:tcBorders>
              <w:bottom w:val="single" w:sz="4" w:space="0" w:color="auto"/>
            </w:tcBorders>
            <w:shd w:val="clear" w:color="auto" w:fill="FFFFFF" w:themeFill="background1"/>
          </w:tcPr>
          <w:p w:rsidR="005F3D59" w:rsidRPr="00A0472D" w:rsidRDefault="005F3D59" w:rsidP="00066A2F">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5F3D59" w:rsidRPr="00A0472D" w:rsidRDefault="005F3D59" w:rsidP="00066A2F">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5F3D59" w:rsidRPr="00840F3D" w:rsidRDefault="005F3D59" w:rsidP="00066A2F">
            <w:pPr>
              <w:spacing w:after="0" w:line="20" w:lineRule="atLeast"/>
              <w:rPr>
                <w:rFonts w:cs="Calibri"/>
                <w:sz w:val="18"/>
                <w:szCs w:val="18"/>
                <w:lang w:eastAsia="fr-FR"/>
              </w:rPr>
            </w:pPr>
            <w:r w:rsidRPr="00A0472D">
              <w:rPr>
                <w:sz w:val="18"/>
                <w:szCs w:val="18"/>
              </w:rPr>
              <w:t xml:space="preserve">It </w:t>
            </w:r>
            <w:r>
              <w:rPr>
                <w:sz w:val="18"/>
                <w:szCs w:val="18"/>
              </w:rPr>
              <w:t>analyses</w:t>
            </w:r>
            <w:r w:rsidRPr="00A0472D">
              <w:rPr>
                <w:sz w:val="18"/>
                <w:szCs w:val="18"/>
              </w:rPr>
              <w:t xml:space="preserve"> selective migration in rural regions</w:t>
            </w:r>
            <w:r>
              <w:rPr>
                <w:sz w:val="18"/>
                <w:szCs w:val="18"/>
              </w:rPr>
              <w:t xml:space="preserve"> in order</w:t>
            </w:r>
            <w:r w:rsidRPr="00A0472D">
              <w:rPr>
                <w:sz w:val="18"/>
                <w:szCs w:val="18"/>
              </w:rPr>
              <w:t xml:space="preserve"> to develop strategies for territorial development (see map 1, 4 and 5</w:t>
            </w:r>
            <w:r>
              <w:rPr>
                <w:sz w:val="18"/>
                <w:szCs w:val="18"/>
              </w:rPr>
              <w:t xml:space="preserve"> and </w:t>
            </w:r>
            <w:r w:rsidRPr="006232A7">
              <w:rPr>
                <w:sz w:val="18"/>
                <w:szCs w:val="18"/>
              </w:rPr>
              <w:t>Annex 2B</w:t>
            </w:r>
            <w:r>
              <w:rPr>
                <w:sz w:val="18"/>
                <w:szCs w:val="18"/>
              </w:rPr>
              <w:t xml:space="preserve"> for the case study of</w:t>
            </w:r>
            <w:r w:rsidRPr="006232A7">
              <w:rPr>
                <w:sz w:val="18"/>
                <w:szCs w:val="18"/>
              </w:rPr>
              <w:t xml:space="preserve"> Västernorrland</w:t>
            </w:r>
            <w:r>
              <w:rPr>
                <w:sz w:val="18"/>
                <w:szCs w:val="18"/>
              </w:rPr>
              <w:t>).</w:t>
            </w:r>
            <w:r w:rsidRPr="006232A7">
              <w:rPr>
                <w:sz w:val="18"/>
                <w:szCs w:val="18"/>
              </w:rPr>
              <w:t xml:space="preserve"> </w:t>
            </w:r>
          </w:p>
        </w:tc>
      </w:tr>
      <w:tr w:rsidR="005F3D59" w:rsidRPr="00A0472D" w:rsidTr="00066A2F">
        <w:trPr>
          <w:trHeight w:val="274"/>
        </w:trPr>
        <w:tc>
          <w:tcPr>
            <w:tcW w:w="1276" w:type="dxa"/>
            <w:shd w:val="clear" w:color="auto" w:fill="FFFFFF" w:themeFill="background1"/>
          </w:tcPr>
          <w:p w:rsidR="005F3D59" w:rsidRPr="008152C4" w:rsidRDefault="005F3D59" w:rsidP="00066A2F">
            <w:pPr>
              <w:spacing w:after="0" w:line="20" w:lineRule="atLeast"/>
              <w:rPr>
                <w:sz w:val="18"/>
                <w:szCs w:val="18"/>
              </w:rPr>
            </w:pPr>
            <w:r>
              <w:rPr>
                <w:sz w:val="18"/>
                <w:szCs w:val="18"/>
              </w:rPr>
              <w:t>KIT</w:t>
            </w:r>
          </w:p>
        </w:tc>
        <w:tc>
          <w:tcPr>
            <w:tcW w:w="1418" w:type="dxa"/>
            <w:shd w:val="clear" w:color="auto" w:fill="FFFFFF" w:themeFill="background1"/>
          </w:tcPr>
          <w:p w:rsidR="005F3D59" w:rsidRPr="008152C4" w:rsidRDefault="005F3D59" w:rsidP="00066A2F">
            <w:pPr>
              <w:spacing w:after="0" w:line="20" w:lineRule="atLeast"/>
              <w:rPr>
                <w:sz w:val="18"/>
                <w:szCs w:val="18"/>
              </w:rPr>
            </w:pPr>
            <w:r w:rsidRPr="008152C4">
              <w:rPr>
                <w:sz w:val="18"/>
                <w:szCs w:val="18"/>
              </w:rPr>
              <w:t>Innovation</w:t>
            </w:r>
          </w:p>
        </w:tc>
        <w:tc>
          <w:tcPr>
            <w:tcW w:w="5670" w:type="dxa"/>
            <w:shd w:val="clear" w:color="auto" w:fill="FFFFFF" w:themeFill="background1"/>
          </w:tcPr>
          <w:p w:rsidR="005F3D59" w:rsidRPr="008152C4" w:rsidRDefault="005F3D59" w:rsidP="00066A2F">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5F3D59" w:rsidRPr="00A0472D" w:rsidTr="00066A2F">
        <w:trPr>
          <w:trHeight w:val="274"/>
        </w:trPr>
        <w:tc>
          <w:tcPr>
            <w:tcW w:w="1276" w:type="dxa"/>
            <w:shd w:val="clear" w:color="auto" w:fill="FFFFFF" w:themeFill="background1"/>
          </w:tcPr>
          <w:p w:rsidR="005F3D59" w:rsidRPr="00A0472D" w:rsidRDefault="005F3D59" w:rsidP="00066A2F">
            <w:pPr>
              <w:spacing w:after="0" w:line="20" w:lineRule="atLeast"/>
              <w:rPr>
                <w:sz w:val="18"/>
                <w:szCs w:val="18"/>
              </w:rPr>
            </w:pPr>
            <w:r w:rsidRPr="008152C4">
              <w:rPr>
                <w:sz w:val="18"/>
                <w:szCs w:val="18"/>
              </w:rPr>
              <w:t>SGPTD</w:t>
            </w:r>
          </w:p>
        </w:tc>
        <w:tc>
          <w:tcPr>
            <w:tcW w:w="1418" w:type="dxa"/>
            <w:shd w:val="clear" w:color="auto" w:fill="FFFFFF" w:themeFill="background1"/>
          </w:tcPr>
          <w:p w:rsidR="005F3D59" w:rsidRPr="00A0472D" w:rsidRDefault="005F3D59" w:rsidP="00066A2F">
            <w:pPr>
              <w:spacing w:after="0" w:line="20" w:lineRule="atLeast"/>
              <w:rPr>
                <w:sz w:val="18"/>
                <w:szCs w:val="18"/>
              </w:rPr>
            </w:pPr>
            <w:r w:rsidRPr="008152C4">
              <w:rPr>
                <w:sz w:val="18"/>
                <w:szCs w:val="18"/>
              </w:rPr>
              <w:t>Growth poles</w:t>
            </w:r>
          </w:p>
        </w:tc>
        <w:tc>
          <w:tcPr>
            <w:tcW w:w="5670" w:type="dxa"/>
            <w:shd w:val="clear" w:color="auto" w:fill="FFFFFF" w:themeFill="background1"/>
          </w:tcPr>
          <w:p w:rsidR="005F3D59" w:rsidRPr="00A0472D" w:rsidRDefault="005F3D59" w:rsidP="00066A2F">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5F3D59" w:rsidRPr="00A0472D" w:rsidTr="00066A2F">
        <w:trPr>
          <w:trHeight w:val="274"/>
        </w:trPr>
        <w:tc>
          <w:tcPr>
            <w:tcW w:w="1276" w:type="dxa"/>
            <w:shd w:val="clear" w:color="auto" w:fill="FFFFFF" w:themeFill="background1"/>
          </w:tcPr>
          <w:p w:rsidR="005F3D59" w:rsidRPr="00A0472D" w:rsidRDefault="005F3D59" w:rsidP="00066A2F">
            <w:pPr>
              <w:spacing w:after="0" w:line="20" w:lineRule="atLeast"/>
              <w:rPr>
                <w:sz w:val="18"/>
                <w:szCs w:val="18"/>
              </w:rPr>
            </w:pPr>
            <w:r w:rsidRPr="00A0472D">
              <w:rPr>
                <w:sz w:val="18"/>
                <w:szCs w:val="18"/>
              </w:rPr>
              <w:t>TERCO</w:t>
            </w:r>
          </w:p>
        </w:tc>
        <w:tc>
          <w:tcPr>
            <w:tcW w:w="1418" w:type="dxa"/>
            <w:shd w:val="clear" w:color="auto" w:fill="FFFFFF" w:themeFill="background1"/>
          </w:tcPr>
          <w:p w:rsidR="005F3D59" w:rsidRPr="00A0472D" w:rsidRDefault="005F3D59" w:rsidP="00066A2F">
            <w:pPr>
              <w:spacing w:after="0" w:line="20" w:lineRule="atLeast"/>
              <w:rPr>
                <w:sz w:val="18"/>
                <w:szCs w:val="18"/>
              </w:rPr>
            </w:pPr>
            <w:r w:rsidRPr="00A0472D">
              <w:rPr>
                <w:sz w:val="18"/>
                <w:szCs w:val="18"/>
              </w:rPr>
              <w:t>Territorial cooperation</w:t>
            </w:r>
          </w:p>
        </w:tc>
        <w:tc>
          <w:tcPr>
            <w:tcW w:w="5670" w:type="dxa"/>
            <w:shd w:val="clear" w:color="auto" w:fill="FFFFFF" w:themeFill="background1"/>
          </w:tcPr>
          <w:p w:rsidR="005F3D59" w:rsidRPr="00A0472D" w:rsidRDefault="005F3D59" w:rsidP="00066A2F">
            <w:pPr>
              <w:spacing w:after="0" w:line="20" w:lineRule="atLeast"/>
              <w:rPr>
                <w:sz w:val="18"/>
                <w:szCs w:val="18"/>
              </w:rPr>
            </w:pPr>
            <w:r w:rsidRPr="00A0472D">
              <w:rPr>
                <w:sz w:val="18"/>
                <w:szCs w:val="18"/>
              </w:rPr>
              <w:t>It delivers evidence concerning accessibility, demography</w:t>
            </w:r>
            <w:r>
              <w:rPr>
                <w:sz w:val="18"/>
                <w:szCs w:val="18"/>
              </w:rPr>
              <w:t xml:space="preserve"> and </w:t>
            </w:r>
            <w:r w:rsidRPr="00A0472D">
              <w:rPr>
                <w:sz w:val="18"/>
                <w:szCs w:val="18"/>
              </w:rPr>
              <w:t xml:space="preserve">competitiveness </w:t>
            </w:r>
            <w:r>
              <w:rPr>
                <w:sz w:val="18"/>
                <w:szCs w:val="18"/>
              </w:rPr>
              <w:t>(see from map 1 to 12</w:t>
            </w:r>
            <w:r w:rsidRPr="00A65DE1">
              <w:rPr>
                <w:bCs/>
                <w:sz w:val="18"/>
                <w:szCs w:val="18"/>
              </w:rPr>
              <w:t>)</w:t>
            </w:r>
            <w:r>
              <w:rPr>
                <w:bCs/>
                <w:sz w:val="18"/>
                <w:szCs w:val="18"/>
              </w:rPr>
              <w:t xml:space="preserve">. </w:t>
            </w:r>
            <w:r w:rsidRPr="00A65DE1">
              <w:rPr>
                <w:bCs/>
                <w:sz w:val="18"/>
                <w:szCs w:val="18"/>
              </w:rPr>
              <w:t xml:space="preserve">Scientific Report </w:t>
            </w:r>
            <w:r>
              <w:rPr>
                <w:bCs/>
                <w:sz w:val="18"/>
                <w:szCs w:val="18"/>
              </w:rPr>
              <w:t>describes the area of</w:t>
            </w:r>
            <w:r w:rsidRPr="00A65DE1">
              <w:rPr>
                <w:bCs/>
                <w:sz w:val="18"/>
                <w:szCs w:val="18"/>
              </w:rPr>
              <w:t xml:space="preserve"> Scotland</w:t>
            </w:r>
            <w:r>
              <w:rPr>
                <w:bCs/>
                <w:sz w:val="18"/>
                <w:szCs w:val="18"/>
              </w:rPr>
              <w:t>,</w:t>
            </w:r>
            <w:r w:rsidRPr="00A65DE1">
              <w:rPr>
                <w:bCs/>
                <w:sz w:val="18"/>
                <w:szCs w:val="18"/>
              </w:rPr>
              <w:t xml:space="preserve"> Norway</w:t>
            </w:r>
            <w:r>
              <w:rPr>
                <w:bCs/>
                <w:sz w:val="18"/>
                <w:szCs w:val="18"/>
              </w:rPr>
              <w:t xml:space="preserve"> and</w:t>
            </w:r>
            <w:r w:rsidRPr="00A65DE1">
              <w:rPr>
                <w:bCs/>
                <w:sz w:val="18"/>
                <w:szCs w:val="18"/>
              </w:rPr>
              <w:t xml:space="preserve"> Sweden.</w:t>
            </w:r>
          </w:p>
        </w:tc>
      </w:tr>
      <w:tr w:rsidR="005F3D59" w:rsidRPr="00A0472D" w:rsidTr="00066A2F">
        <w:trPr>
          <w:trHeight w:val="274"/>
        </w:trPr>
        <w:tc>
          <w:tcPr>
            <w:tcW w:w="1276" w:type="dxa"/>
            <w:shd w:val="clear" w:color="auto" w:fill="FFFFFF" w:themeFill="background1"/>
          </w:tcPr>
          <w:p w:rsidR="005F3D59" w:rsidRPr="00A0472D" w:rsidRDefault="005F3D59" w:rsidP="00066A2F">
            <w:pPr>
              <w:spacing w:after="0" w:line="20" w:lineRule="atLeast"/>
              <w:rPr>
                <w:sz w:val="18"/>
                <w:szCs w:val="18"/>
              </w:rPr>
            </w:pPr>
            <w:r>
              <w:rPr>
                <w:sz w:val="18"/>
                <w:szCs w:val="18"/>
              </w:rPr>
              <w:t>RISE</w:t>
            </w:r>
          </w:p>
        </w:tc>
        <w:tc>
          <w:tcPr>
            <w:tcW w:w="1418" w:type="dxa"/>
            <w:shd w:val="clear" w:color="auto" w:fill="FFFFFF" w:themeFill="background1"/>
          </w:tcPr>
          <w:p w:rsidR="005F3D59" w:rsidRPr="00474CEE" w:rsidRDefault="005F3D59" w:rsidP="00066A2F">
            <w:pPr>
              <w:spacing w:after="0" w:line="20" w:lineRule="atLeast"/>
              <w:rPr>
                <w:color w:val="000000" w:themeColor="text1"/>
                <w:sz w:val="18"/>
                <w:szCs w:val="18"/>
              </w:rPr>
            </w:pPr>
            <w:r w:rsidRPr="006232A7">
              <w:rPr>
                <w:color w:val="000000" w:themeColor="text1"/>
                <w:sz w:val="18"/>
                <w:szCs w:val="18"/>
              </w:rPr>
              <w:t>Integrated strategies</w:t>
            </w:r>
          </w:p>
        </w:tc>
        <w:tc>
          <w:tcPr>
            <w:tcW w:w="5670" w:type="dxa"/>
            <w:shd w:val="clear" w:color="auto" w:fill="FFFFFF" w:themeFill="background1"/>
          </w:tcPr>
          <w:p w:rsidR="005F3D59" w:rsidRPr="002C5EF5" w:rsidRDefault="005F3D59" w:rsidP="00066A2F">
            <w:pPr>
              <w:pStyle w:val="Default"/>
              <w:jc w:val="both"/>
              <w:rPr>
                <w:rFonts w:ascii="Verdana" w:hAnsi="Verdana" w:cs="Verdana"/>
                <w:sz w:val="18"/>
                <w:szCs w:val="18"/>
                <w:lang w:val="en-GB"/>
              </w:rPr>
            </w:pPr>
            <w:r w:rsidRPr="006232A7">
              <w:rPr>
                <w:rFonts w:ascii="Verdana" w:hAnsi="Verdana" w:cs="Verdana"/>
                <w:sz w:val="18"/>
                <w:szCs w:val="18"/>
                <w:lang w:val="en-GB"/>
              </w:rPr>
              <w:t>The project investigates the state of play of the Regional Integrated Strategies</w:t>
            </w:r>
            <w:r>
              <w:rPr>
                <w:rFonts w:ascii="Verdana" w:hAnsi="Verdana" w:cs="Verdana"/>
                <w:sz w:val="18"/>
                <w:szCs w:val="18"/>
                <w:lang w:val="en-GB"/>
              </w:rPr>
              <w:t xml:space="preserve"> (see map 1). An</w:t>
            </w:r>
            <w:r w:rsidRPr="006232A7">
              <w:rPr>
                <w:rFonts w:ascii="Verdana" w:hAnsi="Verdana" w:cs="Verdana"/>
                <w:sz w:val="18"/>
                <w:szCs w:val="18"/>
                <w:lang w:val="en-GB"/>
              </w:rPr>
              <w:t>nex 2 describes the Swed</w:t>
            </w:r>
            <w:r>
              <w:rPr>
                <w:rFonts w:ascii="Verdana" w:hAnsi="Verdana" w:cs="Verdana"/>
                <w:sz w:val="18"/>
                <w:szCs w:val="18"/>
                <w:lang w:val="en-GB"/>
              </w:rPr>
              <w:t xml:space="preserve">ish </w:t>
            </w:r>
            <w:r w:rsidRPr="006232A7">
              <w:rPr>
                <w:rFonts w:ascii="Verdana" w:hAnsi="Verdana" w:cs="Verdana"/>
                <w:sz w:val="18"/>
                <w:szCs w:val="18"/>
                <w:lang w:val="en-GB"/>
              </w:rPr>
              <w:t>region</w:t>
            </w:r>
            <w:r>
              <w:rPr>
                <w:rFonts w:ascii="Verdana" w:hAnsi="Verdana" w:cs="Verdana"/>
                <w:sz w:val="18"/>
                <w:szCs w:val="18"/>
                <w:lang w:val="en-GB"/>
              </w:rPr>
              <w:t xml:space="preserve"> of</w:t>
            </w:r>
            <w:r w:rsidRPr="006232A7">
              <w:rPr>
                <w:rFonts w:ascii="Verdana" w:hAnsi="Verdana" w:cs="Verdana"/>
                <w:sz w:val="18"/>
                <w:szCs w:val="18"/>
                <w:lang w:val="en-GB"/>
              </w:rPr>
              <w:t xml:space="preserve"> Västerbotten</w:t>
            </w:r>
            <w:r>
              <w:rPr>
                <w:rFonts w:ascii="Verdana" w:hAnsi="Verdana" w:cs="Verdana"/>
                <w:sz w:val="18"/>
                <w:szCs w:val="18"/>
                <w:lang w:val="en-GB"/>
              </w:rPr>
              <w:t xml:space="preserve"> as a</w:t>
            </w:r>
            <w:r w:rsidRPr="006232A7">
              <w:rPr>
                <w:rFonts w:ascii="Verdana" w:hAnsi="Verdana" w:cs="Verdana"/>
                <w:sz w:val="18"/>
                <w:szCs w:val="18"/>
                <w:lang w:val="en-GB"/>
              </w:rPr>
              <w:t xml:space="preserve"> </w:t>
            </w:r>
            <w:r>
              <w:rPr>
                <w:rFonts w:ascii="Verdana" w:hAnsi="Verdana" w:cs="Verdana"/>
                <w:sz w:val="18"/>
                <w:szCs w:val="18"/>
                <w:lang w:val="en-GB"/>
              </w:rPr>
              <w:t>c</w:t>
            </w:r>
            <w:r w:rsidRPr="006232A7">
              <w:rPr>
                <w:rFonts w:ascii="Verdana" w:hAnsi="Verdana" w:cs="Verdana"/>
                <w:sz w:val="18"/>
                <w:szCs w:val="18"/>
                <w:lang w:val="en-GB"/>
              </w:rPr>
              <w:t>ase study</w:t>
            </w:r>
            <w:r>
              <w:rPr>
                <w:rFonts w:ascii="Verdana" w:hAnsi="Verdana" w:cs="Verdana"/>
                <w:sz w:val="18"/>
                <w:szCs w:val="18"/>
                <w:lang w:val="en-GB"/>
              </w:rPr>
              <w:t>.</w:t>
            </w:r>
            <w:r w:rsidRPr="006232A7">
              <w:rPr>
                <w:rFonts w:ascii="Verdana" w:hAnsi="Verdana" w:cs="Verdana"/>
                <w:sz w:val="18"/>
                <w:szCs w:val="18"/>
                <w:lang w:val="en-GB"/>
              </w:rPr>
              <w:t xml:space="preserve"> </w:t>
            </w:r>
          </w:p>
        </w:tc>
      </w:tr>
      <w:tr w:rsidR="005F3D59" w:rsidRPr="00840F3D" w:rsidTr="00066A2F">
        <w:trPr>
          <w:trHeight w:val="274"/>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5F3D59" w:rsidRPr="00840F3D" w:rsidRDefault="005F3D59" w:rsidP="00066A2F">
            <w:pPr>
              <w:spacing w:after="0" w:line="20" w:lineRule="atLeast"/>
              <w:rPr>
                <w:sz w:val="18"/>
                <w:szCs w:val="18"/>
              </w:rPr>
            </w:pPr>
            <w:r w:rsidRPr="00840F3D">
              <w:rPr>
                <w:sz w:val="18"/>
                <w:szCs w:val="18"/>
              </w:rPr>
              <w:t xml:space="preserve">TeDi </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5F3D59" w:rsidRPr="00840F3D" w:rsidRDefault="005F3D59" w:rsidP="00066A2F">
            <w:pPr>
              <w:spacing w:after="0" w:line="20" w:lineRule="atLeast"/>
              <w:rPr>
                <w:sz w:val="18"/>
                <w:szCs w:val="18"/>
              </w:rPr>
            </w:pPr>
            <w:r w:rsidRPr="00840F3D">
              <w:rPr>
                <w:sz w:val="18"/>
                <w:szCs w:val="18"/>
              </w:rPr>
              <w:t>Territorial diversity</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tcPr>
          <w:p w:rsidR="005F3D59" w:rsidRPr="00840F3D" w:rsidRDefault="005F3D59" w:rsidP="00066A2F">
            <w:pPr>
              <w:spacing w:after="0" w:line="20" w:lineRule="atLeast"/>
              <w:rPr>
                <w:sz w:val="18"/>
                <w:szCs w:val="18"/>
              </w:rPr>
            </w:pPr>
            <w:r w:rsidRPr="00840F3D">
              <w:rPr>
                <w:sz w:val="18"/>
                <w:szCs w:val="18"/>
              </w:rPr>
              <w:t xml:space="preserve">It provides a better understanding of development processes in territories defined as insular, mountainous, sparsely populated or peripheral </w:t>
            </w:r>
            <w:r>
              <w:rPr>
                <w:sz w:val="18"/>
                <w:szCs w:val="18"/>
              </w:rPr>
              <w:t>(see from map 1 to 43)</w:t>
            </w:r>
            <w:r w:rsidRPr="00840F3D">
              <w:rPr>
                <w:sz w:val="18"/>
                <w:szCs w:val="18"/>
              </w:rPr>
              <w:t>.</w:t>
            </w:r>
            <w:r>
              <w:rPr>
                <w:sz w:val="18"/>
                <w:szCs w:val="18"/>
              </w:rPr>
              <w:t xml:space="preserve"> </w:t>
            </w:r>
          </w:p>
        </w:tc>
      </w:tr>
    </w:tbl>
    <w:p w:rsidR="005F3D59" w:rsidRDefault="005F3D59" w:rsidP="005F3D59">
      <w:pPr>
        <w:spacing w:before="240"/>
      </w:pPr>
      <w:r>
        <w:t>Furthermore, some of overall ESPON products of particular interest for territorial cooperation are:</w:t>
      </w:r>
    </w:p>
    <w:p w:rsidR="005F3D59" w:rsidRDefault="005F3D59" w:rsidP="005F3D59">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5F3D59" w:rsidRDefault="005F3D59" w:rsidP="005F3D59">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5F3D59" w:rsidRPr="00A33083" w:rsidRDefault="005F3D59" w:rsidP="005F3D59">
      <w:pPr>
        <w:pStyle w:val="ListParagraph"/>
        <w:numPr>
          <w:ilvl w:val="0"/>
          <w:numId w:val="4"/>
        </w:numPr>
      </w:pPr>
      <w:r w:rsidRPr="00112693">
        <w:rPr>
          <w:b/>
        </w:rPr>
        <w:t>ESPON 2013 Database</w:t>
      </w:r>
      <w:r w:rsidRPr="00A33083">
        <w:t xml:space="preserve"> provides regional information provided by </w:t>
      </w:r>
      <w:hyperlink r:id="rId27" w:history="1">
        <w:r w:rsidRPr="00A33083">
          <w:t>ESPON projects</w:t>
        </w:r>
      </w:hyperlink>
      <w:r w:rsidRPr="00A33083">
        <w:t xml:space="preserve"> and </w:t>
      </w:r>
      <w:hyperlink r:id="rId28" w:history="1">
        <w:r w:rsidRPr="00A33083">
          <w:t>EUROSTAT</w:t>
        </w:r>
      </w:hyperlink>
      <w:r w:rsidRPr="00A33083">
        <w:t xml:space="preserve">. </w:t>
      </w:r>
    </w:p>
    <w:p w:rsidR="005F3D59" w:rsidRDefault="005F3D59" w:rsidP="005F3D59">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5F3D59" w:rsidRPr="00CD642B" w:rsidRDefault="005F3D59" w:rsidP="005F3D59">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5F3D59" w:rsidRDefault="005F3D59" w:rsidP="005F3D59">
      <w:pPr>
        <w:pStyle w:val="ListParagraph"/>
        <w:numPr>
          <w:ilvl w:val="0"/>
          <w:numId w:val="4"/>
        </w:numPr>
        <w:spacing w:after="0"/>
        <w:ind w:left="357" w:hanging="357"/>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5F3D59" w:rsidRDefault="005F3D59" w:rsidP="005F3D59">
      <w:pPr>
        <w:jc w:val="center"/>
      </w:pPr>
      <w:r w:rsidRPr="00CD642B">
        <w:t>All ESPON reports and tools are freely available at</w:t>
      </w:r>
      <w:r>
        <w:br/>
      </w:r>
      <w:r w:rsidRPr="00CD642B">
        <w:rPr>
          <w:b/>
        </w:rPr>
        <w:t>www.espon.eu</w:t>
      </w: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9"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7F0B4E" w:rsidRPr="007F0B4E">
        <w:rPr>
          <w:rFonts w:ascii="Arial" w:hAnsi="Arial" w:cs="Arial"/>
          <w:noProof/>
          <w:lang w:eastAsia="en-GB"/>
        </w:rPr>
        <w:pict>
          <v:shapetype id="_x0000_t202" coordsize="21600,21600" o:spt="202" path="m,l,21600r21600,l21600,xe">
            <v:stroke joinstyle="miter"/>
            <v:path gradientshapeok="t" o:connecttype="rect"/>
          </v:shapetype>
          <v:shape id="Text Box 3" o:spid="_x0000_s1027" type="#_x0000_t202" style="position:absolute;left:0;text-align:left;margin-left:-36.35pt;margin-top:-9.15pt;width:228pt;height:25.2pt;z-index:251658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F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a2PYMvU7B66EHP7OHY6DZlar7e1l+10jIZUPFht0qJYeG0QrSC+1N/+Lq&#10;iKMtyHr4JCsIQ7dGOqB9rTrbO+gGAnSg6elEjU2lhMMoTqazAEwl2CbAP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" filled="f" stroked="f">
            <v:textbox style="mso-next-textbox:#Text Box 3;mso-fit-shape-to-text:t">
              <w:txbxContent>
                <w:p w:rsidR="00904229" w:rsidRPr="001038DE" w:rsidRDefault="00904229" w:rsidP="001038DE">
                  <w:pPr>
                    <w:rPr>
                      <w:szCs w:val="20"/>
                    </w:rPr>
                  </w:pPr>
                </w:p>
              </w:txbxContent>
            </v:textbox>
          </v:shape>
        </w:pict>
      </w:r>
      <w:r w:rsidR="007F0B4E" w:rsidRPr="007F0B4E">
        <w:rPr>
          <w:rFonts w:ascii="Arial" w:hAnsi="Arial" w:cs="Arial"/>
          <w:noProof/>
          <w:lang w:eastAsia="en-GB"/>
        </w:rPr>
        <w:pict>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904229" w:rsidRPr="00FB783A" w:rsidRDefault="00904229"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30"/>
      <w:footerReference w:type="default" r:id="rId31"/>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714E" w:rsidRDefault="0095714E">
      <w:r>
        <w:separator/>
      </w:r>
    </w:p>
  </w:endnote>
  <w:endnote w:type="continuationSeparator" w:id="0">
    <w:p w:rsidR="0095714E" w:rsidRDefault="0095714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229" w:rsidRDefault="007F0B4E" w:rsidP="00BC65E1">
    <w:pPr>
      <w:framePr w:wrap="around" w:vAnchor="text" w:hAnchor="margin" w:xAlign="right" w:y="1"/>
      <w:rPr>
        <w:rStyle w:val="PageNumber"/>
      </w:rPr>
    </w:pPr>
    <w:r>
      <w:rPr>
        <w:rStyle w:val="PageNumber"/>
      </w:rPr>
      <w:fldChar w:fldCharType="begin"/>
    </w:r>
    <w:r w:rsidR="00904229">
      <w:rPr>
        <w:rStyle w:val="PageNumber"/>
      </w:rPr>
      <w:instrText xml:space="preserve">PAGE  </w:instrText>
    </w:r>
    <w:r>
      <w:rPr>
        <w:rStyle w:val="PageNumber"/>
      </w:rPr>
      <w:fldChar w:fldCharType="separate"/>
    </w:r>
    <w:r w:rsidR="00904229">
      <w:rPr>
        <w:rStyle w:val="PageNumber"/>
        <w:noProof/>
      </w:rPr>
      <w:t>3</w:t>
    </w:r>
    <w:r>
      <w:rPr>
        <w:rStyle w:val="PageNumber"/>
      </w:rPr>
      <w:fldChar w:fldCharType="end"/>
    </w:r>
  </w:p>
  <w:p w:rsidR="00904229" w:rsidRDefault="00904229">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229" w:rsidRPr="00A15B61" w:rsidRDefault="007F0B4E" w:rsidP="00BC65E1">
    <w:pPr>
      <w:pStyle w:val="Footer"/>
      <w:framePr w:wrap="around" w:vAnchor="text" w:hAnchor="margin" w:xAlign="right" w:y="1"/>
      <w:rPr>
        <w:rStyle w:val="PageNumber"/>
      </w:rPr>
    </w:pPr>
    <w:r w:rsidRPr="00A15B61">
      <w:rPr>
        <w:rStyle w:val="PageNumber"/>
        <w:szCs w:val="20"/>
      </w:rPr>
      <w:fldChar w:fldCharType="begin"/>
    </w:r>
    <w:r w:rsidR="00904229">
      <w:rPr>
        <w:rStyle w:val="PageNumber"/>
        <w:szCs w:val="20"/>
      </w:rPr>
      <w:instrText>PAGE</w:instrText>
    </w:r>
    <w:r w:rsidR="00904229" w:rsidRPr="00A15B61">
      <w:rPr>
        <w:rStyle w:val="PageNumber"/>
        <w:szCs w:val="20"/>
      </w:rPr>
      <w:instrText xml:space="preserve">  </w:instrText>
    </w:r>
    <w:r w:rsidRPr="00A15B61">
      <w:rPr>
        <w:rStyle w:val="PageNumber"/>
        <w:szCs w:val="20"/>
      </w:rPr>
      <w:fldChar w:fldCharType="separate"/>
    </w:r>
    <w:r w:rsidR="001038DE">
      <w:rPr>
        <w:rStyle w:val="PageNumber"/>
        <w:noProof/>
        <w:szCs w:val="20"/>
      </w:rPr>
      <w:t>1</w:t>
    </w:r>
    <w:r w:rsidRPr="00A15B61">
      <w:rPr>
        <w:rStyle w:val="PageNumber"/>
        <w:szCs w:val="20"/>
      </w:rPr>
      <w:fldChar w:fldCharType="end"/>
    </w:r>
  </w:p>
  <w:p w:rsidR="00904229" w:rsidRPr="00A15B61" w:rsidRDefault="00904229"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229" w:rsidRPr="00A15B61" w:rsidRDefault="007F0B4E" w:rsidP="00BC65E1">
    <w:pPr>
      <w:pStyle w:val="Footer"/>
      <w:framePr w:wrap="around" w:vAnchor="text" w:hAnchor="margin" w:xAlign="right" w:y="1"/>
      <w:rPr>
        <w:rStyle w:val="PageNumber"/>
      </w:rPr>
    </w:pPr>
    <w:r w:rsidRPr="00A15B61">
      <w:rPr>
        <w:rStyle w:val="PageNumber"/>
        <w:szCs w:val="20"/>
      </w:rPr>
      <w:fldChar w:fldCharType="begin"/>
    </w:r>
    <w:r w:rsidR="00904229">
      <w:rPr>
        <w:rStyle w:val="PageNumber"/>
        <w:szCs w:val="20"/>
      </w:rPr>
      <w:instrText>PAGE</w:instrText>
    </w:r>
    <w:r w:rsidR="00904229" w:rsidRPr="00A15B61">
      <w:rPr>
        <w:rStyle w:val="PageNumber"/>
        <w:szCs w:val="20"/>
      </w:rPr>
      <w:instrText xml:space="preserve">  </w:instrText>
    </w:r>
    <w:r w:rsidRPr="00A15B61">
      <w:rPr>
        <w:rStyle w:val="PageNumber"/>
        <w:szCs w:val="20"/>
      </w:rPr>
      <w:fldChar w:fldCharType="separate"/>
    </w:r>
    <w:r w:rsidR="001038DE">
      <w:rPr>
        <w:rStyle w:val="PageNumber"/>
        <w:noProof/>
        <w:szCs w:val="20"/>
      </w:rPr>
      <w:t>16</w:t>
    </w:r>
    <w:r w:rsidRPr="00A15B61">
      <w:rPr>
        <w:rStyle w:val="PageNumber"/>
        <w:szCs w:val="20"/>
      </w:rPr>
      <w:fldChar w:fldCharType="end"/>
    </w:r>
  </w:p>
  <w:p w:rsidR="00904229" w:rsidRPr="00A15B61" w:rsidRDefault="00904229"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714E" w:rsidRDefault="0095714E">
      <w:r>
        <w:separator/>
      </w:r>
    </w:p>
  </w:footnote>
  <w:footnote w:type="continuationSeparator" w:id="0">
    <w:p w:rsidR="0095714E" w:rsidRDefault="009571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229" w:rsidRDefault="007F0B4E">
    <w:pPr>
      <w:pStyle w:val="Header"/>
    </w:pPr>
    <w:r w:rsidRPr="007F0B4E">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904229" w:rsidRDefault="00904229"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904229" w:rsidRPr="00721B03" w:rsidRDefault="00904229"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904229">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229" w:rsidRDefault="0090422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Tahoma"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Symbo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Symbol"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Symbol"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Symbol"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Symbol"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4EA3"/>
    <w:rsid w:val="000066AA"/>
    <w:rsid w:val="00010DE4"/>
    <w:rsid w:val="00011481"/>
    <w:rsid w:val="00011C3D"/>
    <w:rsid w:val="00012892"/>
    <w:rsid w:val="00014F20"/>
    <w:rsid w:val="00016919"/>
    <w:rsid w:val="00016B50"/>
    <w:rsid w:val="000172BC"/>
    <w:rsid w:val="00020978"/>
    <w:rsid w:val="0002197F"/>
    <w:rsid w:val="00021A06"/>
    <w:rsid w:val="00031AEC"/>
    <w:rsid w:val="00032745"/>
    <w:rsid w:val="00036C34"/>
    <w:rsid w:val="000372A5"/>
    <w:rsid w:val="00037716"/>
    <w:rsid w:val="00041991"/>
    <w:rsid w:val="00041A22"/>
    <w:rsid w:val="0004221D"/>
    <w:rsid w:val="00043F45"/>
    <w:rsid w:val="0005071B"/>
    <w:rsid w:val="00050AB6"/>
    <w:rsid w:val="000527DC"/>
    <w:rsid w:val="00055A97"/>
    <w:rsid w:val="000576BC"/>
    <w:rsid w:val="00061CE3"/>
    <w:rsid w:val="00063161"/>
    <w:rsid w:val="00064853"/>
    <w:rsid w:val="000664C7"/>
    <w:rsid w:val="00072557"/>
    <w:rsid w:val="00073957"/>
    <w:rsid w:val="00073BFF"/>
    <w:rsid w:val="00077C32"/>
    <w:rsid w:val="000812A6"/>
    <w:rsid w:val="00083607"/>
    <w:rsid w:val="00085BAD"/>
    <w:rsid w:val="00086387"/>
    <w:rsid w:val="000A0B9B"/>
    <w:rsid w:val="000A0F69"/>
    <w:rsid w:val="000A647A"/>
    <w:rsid w:val="000B3819"/>
    <w:rsid w:val="000B4718"/>
    <w:rsid w:val="000B58AA"/>
    <w:rsid w:val="000B7A7D"/>
    <w:rsid w:val="000B7F4E"/>
    <w:rsid w:val="000C36A1"/>
    <w:rsid w:val="000C4070"/>
    <w:rsid w:val="000C716F"/>
    <w:rsid w:val="000D0D18"/>
    <w:rsid w:val="000D3299"/>
    <w:rsid w:val="000D57C9"/>
    <w:rsid w:val="000D7CC4"/>
    <w:rsid w:val="000E6CC8"/>
    <w:rsid w:val="000E76EB"/>
    <w:rsid w:val="000F1BA2"/>
    <w:rsid w:val="000F2140"/>
    <w:rsid w:val="001038DE"/>
    <w:rsid w:val="00104631"/>
    <w:rsid w:val="00105B9D"/>
    <w:rsid w:val="00112060"/>
    <w:rsid w:val="001120BB"/>
    <w:rsid w:val="00112693"/>
    <w:rsid w:val="0011785C"/>
    <w:rsid w:val="0012533B"/>
    <w:rsid w:val="001260F4"/>
    <w:rsid w:val="00126FC2"/>
    <w:rsid w:val="00127104"/>
    <w:rsid w:val="00132B3D"/>
    <w:rsid w:val="00132FDD"/>
    <w:rsid w:val="00133602"/>
    <w:rsid w:val="00134DC7"/>
    <w:rsid w:val="0013600B"/>
    <w:rsid w:val="00147567"/>
    <w:rsid w:val="001507D7"/>
    <w:rsid w:val="00150A5A"/>
    <w:rsid w:val="00150FCB"/>
    <w:rsid w:val="00151954"/>
    <w:rsid w:val="00152974"/>
    <w:rsid w:val="00153108"/>
    <w:rsid w:val="00153EE2"/>
    <w:rsid w:val="0015691A"/>
    <w:rsid w:val="00157B13"/>
    <w:rsid w:val="00162FF6"/>
    <w:rsid w:val="0016435C"/>
    <w:rsid w:val="00172B99"/>
    <w:rsid w:val="00177F91"/>
    <w:rsid w:val="00180D67"/>
    <w:rsid w:val="00182673"/>
    <w:rsid w:val="001838FE"/>
    <w:rsid w:val="00184B93"/>
    <w:rsid w:val="001907DA"/>
    <w:rsid w:val="00191F3D"/>
    <w:rsid w:val="001929F2"/>
    <w:rsid w:val="0019394E"/>
    <w:rsid w:val="00193F6F"/>
    <w:rsid w:val="001A0A8D"/>
    <w:rsid w:val="001A30F4"/>
    <w:rsid w:val="001A42AD"/>
    <w:rsid w:val="001A7669"/>
    <w:rsid w:val="001B0526"/>
    <w:rsid w:val="001B13B6"/>
    <w:rsid w:val="001B27DA"/>
    <w:rsid w:val="001B300C"/>
    <w:rsid w:val="001B5F16"/>
    <w:rsid w:val="001B6A94"/>
    <w:rsid w:val="001C043A"/>
    <w:rsid w:val="001C0C1D"/>
    <w:rsid w:val="001C0F06"/>
    <w:rsid w:val="001C4CA6"/>
    <w:rsid w:val="001C5D44"/>
    <w:rsid w:val="001C7CD0"/>
    <w:rsid w:val="001D0F57"/>
    <w:rsid w:val="001D187B"/>
    <w:rsid w:val="001D594F"/>
    <w:rsid w:val="001D78F6"/>
    <w:rsid w:val="001E0ECB"/>
    <w:rsid w:val="001E2507"/>
    <w:rsid w:val="001E4F95"/>
    <w:rsid w:val="001E5F4A"/>
    <w:rsid w:val="001F0A8E"/>
    <w:rsid w:val="001F236D"/>
    <w:rsid w:val="001F5D67"/>
    <w:rsid w:val="002004FA"/>
    <w:rsid w:val="00200704"/>
    <w:rsid w:val="002017D9"/>
    <w:rsid w:val="00206031"/>
    <w:rsid w:val="00206E64"/>
    <w:rsid w:val="00207B3F"/>
    <w:rsid w:val="0021343D"/>
    <w:rsid w:val="00213A52"/>
    <w:rsid w:val="002146DB"/>
    <w:rsid w:val="0022077E"/>
    <w:rsid w:val="00220A8C"/>
    <w:rsid w:val="002214A4"/>
    <w:rsid w:val="00221A45"/>
    <w:rsid w:val="002224EC"/>
    <w:rsid w:val="00223DE3"/>
    <w:rsid w:val="002250F3"/>
    <w:rsid w:val="00227652"/>
    <w:rsid w:val="00227F0C"/>
    <w:rsid w:val="00235DC8"/>
    <w:rsid w:val="002371D8"/>
    <w:rsid w:val="00253237"/>
    <w:rsid w:val="0025373C"/>
    <w:rsid w:val="002605E0"/>
    <w:rsid w:val="0026077F"/>
    <w:rsid w:val="00264534"/>
    <w:rsid w:val="00265996"/>
    <w:rsid w:val="00276DA6"/>
    <w:rsid w:val="00281A82"/>
    <w:rsid w:val="00282854"/>
    <w:rsid w:val="002859AC"/>
    <w:rsid w:val="00285BF3"/>
    <w:rsid w:val="002923B9"/>
    <w:rsid w:val="00293ABA"/>
    <w:rsid w:val="00293DE9"/>
    <w:rsid w:val="00294042"/>
    <w:rsid w:val="002949F4"/>
    <w:rsid w:val="002977F3"/>
    <w:rsid w:val="002A0221"/>
    <w:rsid w:val="002A0E97"/>
    <w:rsid w:val="002A15B2"/>
    <w:rsid w:val="002A2C96"/>
    <w:rsid w:val="002A7776"/>
    <w:rsid w:val="002B1929"/>
    <w:rsid w:val="002B51CA"/>
    <w:rsid w:val="002B71A8"/>
    <w:rsid w:val="002C06ED"/>
    <w:rsid w:val="002C2CBC"/>
    <w:rsid w:val="002C4473"/>
    <w:rsid w:val="002C780D"/>
    <w:rsid w:val="002D027A"/>
    <w:rsid w:val="002D11CE"/>
    <w:rsid w:val="002D1443"/>
    <w:rsid w:val="002D3185"/>
    <w:rsid w:val="002D5B13"/>
    <w:rsid w:val="002D621A"/>
    <w:rsid w:val="002E0490"/>
    <w:rsid w:val="002E20E5"/>
    <w:rsid w:val="002E3D45"/>
    <w:rsid w:val="002E529A"/>
    <w:rsid w:val="002E619E"/>
    <w:rsid w:val="002F1D75"/>
    <w:rsid w:val="002F4B38"/>
    <w:rsid w:val="002F713F"/>
    <w:rsid w:val="00303833"/>
    <w:rsid w:val="00304555"/>
    <w:rsid w:val="00304A46"/>
    <w:rsid w:val="003052B2"/>
    <w:rsid w:val="0030699A"/>
    <w:rsid w:val="0031203E"/>
    <w:rsid w:val="00322B33"/>
    <w:rsid w:val="003253E2"/>
    <w:rsid w:val="003312D3"/>
    <w:rsid w:val="003351B4"/>
    <w:rsid w:val="00337519"/>
    <w:rsid w:val="00337872"/>
    <w:rsid w:val="00344591"/>
    <w:rsid w:val="003445A4"/>
    <w:rsid w:val="00351255"/>
    <w:rsid w:val="00351563"/>
    <w:rsid w:val="003526D5"/>
    <w:rsid w:val="00352B1D"/>
    <w:rsid w:val="00352D76"/>
    <w:rsid w:val="00353B5C"/>
    <w:rsid w:val="0035504D"/>
    <w:rsid w:val="00362CD8"/>
    <w:rsid w:val="00362D4C"/>
    <w:rsid w:val="00371DBA"/>
    <w:rsid w:val="0037366C"/>
    <w:rsid w:val="00373AFF"/>
    <w:rsid w:val="0037440D"/>
    <w:rsid w:val="00376B51"/>
    <w:rsid w:val="00376C5D"/>
    <w:rsid w:val="00383954"/>
    <w:rsid w:val="00384F28"/>
    <w:rsid w:val="003860B2"/>
    <w:rsid w:val="00391559"/>
    <w:rsid w:val="00391CD5"/>
    <w:rsid w:val="00392914"/>
    <w:rsid w:val="0039373B"/>
    <w:rsid w:val="00396D72"/>
    <w:rsid w:val="00397CB9"/>
    <w:rsid w:val="003A016A"/>
    <w:rsid w:val="003A27BC"/>
    <w:rsid w:val="003A2F36"/>
    <w:rsid w:val="003A6832"/>
    <w:rsid w:val="003B0962"/>
    <w:rsid w:val="003B21D4"/>
    <w:rsid w:val="003C112D"/>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7A75"/>
    <w:rsid w:val="003F0688"/>
    <w:rsid w:val="003F17C7"/>
    <w:rsid w:val="003F196C"/>
    <w:rsid w:val="003F6066"/>
    <w:rsid w:val="003F7C64"/>
    <w:rsid w:val="00401DDB"/>
    <w:rsid w:val="004024D3"/>
    <w:rsid w:val="00402955"/>
    <w:rsid w:val="004043C4"/>
    <w:rsid w:val="004047DE"/>
    <w:rsid w:val="00404925"/>
    <w:rsid w:val="004054C3"/>
    <w:rsid w:val="0040760B"/>
    <w:rsid w:val="00410A29"/>
    <w:rsid w:val="004122A0"/>
    <w:rsid w:val="00412C19"/>
    <w:rsid w:val="004138A7"/>
    <w:rsid w:val="004173E4"/>
    <w:rsid w:val="004177FC"/>
    <w:rsid w:val="00421830"/>
    <w:rsid w:val="00422212"/>
    <w:rsid w:val="0042391C"/>
    <w:rsid w:val="0042502E"/>
    <w:rsid w:val="00433090"/>
    <w:rsid w:val="004353CB"/>
    <w:rsid w:val="00435476"/>
    <w:rsid w:val="0044029A"/>
    <w:rsid w:val="00443CD7"/>
    <w:rsid w:val="00445A8A"/>
    <w:rsid w:val="0044604E"/>
    <w:rsid w:val="00447210"/>
    <w:rsid w:val="00454825"/>
    <w:rsid w:val="00456E90"/>
    <w:rsid w:val="004604F3"/>
    <w:rsid w:val="0046572E"/>
    <w:rsid w:val="00467598"/>
    <w:rsid w:val="00470A8B"/>
    <w:rsid w:val="00472744"/>
    <w:rsid w:val="00473131"/>
    <w:rsid w:val="00475DCB"/>
    <w:rsid w:val="00476513"/>
    <w:rsid w:val="004778EB"/>
    <w:rsid w:val="00477CEB"/>
    <w:rsid w:val="0048039B"/>
    <w:rsid w:val="004854D1"/>
    <w:rsid w:val="00485672"/>
    <w:rsid w:val="004900DF"/>
    <w:rsid w:val="004933BE"/>
    <w:rsid w:val="00495B6F"/>
    <w:rsid w:val="004A0E81"/>
    <w:rsid w:val="004A1DB8"/>
    <w:rsid w:val="004A4AC7"/>
    <w:rsid w:val="004A52D3"/>
    <w:rsid w:val="004B03FD"/>
    <w:rsid w:val="004B2204"/>
    <w:rsid w:val="004B2360"/>
    <w:rsid w:val="004B2688"/>
    <w:rsid w:val="004B33EC"/>
    <w:rsid w:val="004B3A9D"/>
    <w:rsid w:val="004B48CD"/>
    <w:rsid w:val="004C4307"/>
    <w:rsid w:val="004C462E"/>
    <w:rsid w:val="004C61B9"/>
    <w:rsid w:val="004C71AB"/>
    <w:rsid w:val="004C764D"/>
    <w:rsid w:val="004D2437"/>
    <w:rsid w:val="004D2C7B"/>
    <w:rsid w:val="004D6E70"/>
    <w:rsid w:val="004E11D0"/>
    <w:rsid w:val="004E39BD"/>
    <w:rsid w:val="004E3B1D"/>
    <w:rsid w:val="004F0F17"/>
    <w:rsid w:val="004F26B8"/>
    <w:rsid w:val="004F4013"/>
    <w:rsid w:val="004F6946"/>
    <w:rsid w:val="005023B0"/>
    <w:rsid w:val="00502D0D"/>
    <w:rsid w:val="00502E0A"/>
    <w:rsid w:val="00505959"/>
    <w:rsid w:val="005070C8"/>
    <w:rsid w:val="00511059"/>
    <w:rsid w:val="005131EA"/>
    <w:rsid w:val="00524215"/>
    <w:rsid w:val="00526E5A"/>
    <w:rsid w:val="005322AA"/>
    <w:rsid w:val="00541834"/>
    <w:rsid w:val="0054220D"/>
    <w:rsid w:val="005423A5"/>
    <w:rsid w:val="005433C5"/>
    <w:rsid w:val="00545F8A"/>
    <w:rsid w:val="005463AC"/>
    <w:rsid w:val="00552FAD"/>
    <w:rsid w:val="00556D25"/>
    <w:rsid w:val="00562AB0"/>
    <w:rsid w:val="0056756F"/>
    <w:rsid w:val="00571653"/>
    <w:rsid w:val="00571A61"/>
    <w:rsid w:val="00571C81"/>
    <w:rsid w:val="0057346D"/>
    <w:rsid w:val="005761A6"/>
    <w:rsid w:val="00582C35"/>
    <w:rsid w:val="00585345"/>
    <w:rsid w:val="00593AD0"/>
    <w:rsid w:val="00593B7A"/>
    <w:rsid w:val="00595161"/>
    <w:rsid w:val="005967A2"/>
    <w:rsid w:val="00597872"/>
    <w:rsid w:val="005A3E20"/>
    <w:rsid w:val="005A5FC4"/>
    <w:rsid w:val="005A73D9"/>
    <w:rsid w:val="005A7DFC"/>
    <w:rsid w:val="005B3722"/>
    <w:rsid w:val="005B7300"/>
    <w:rsid w:val="005C108D"/>
    <w:rsid w:val="005C58DE"/>
    <w:rsid w:val="005C6D17"/>
    <w:rsid w:val="005D0C21"/>
    <w:rsid w:val="005D1921"/>
    <w:rsid w:val="005D2D0B"/>
    <w:rsid w:val="005D53EE"/>
    <w:rsid w:val="005D621D"/>
    <w:rsid w:val="005D78FE"/>
    <w:rsid w:val="005E463C"/>
    <w:rsid w:val="005E4E4C"/>
    <w:rsid w:val="005E6290"/>
    <w:rsid w:val="005F24DD"/>
    <w:rsid w:val="005F3D59"/>
    <w:rsid w:val="005F7BDC"/>
    <w:rsid w:val="0060091E"/>
    <w:rsid w:val="00610DAB"/>
    <w:rsid w:val="0061660C"/>
    <w:rsid w:val="00616DE9"/>
    <w:rsid w:val="0061757F"/>
    <w:rsid w:val="006221A0"/>
    <w:rsid w:val="00632676"/>
    <w:rsid w:val="006326AB"/>
    <w:rsid w:val="00633FE2"/>
    <w:rsid w:val="00643649"/>
    <w:rsid w:val="006441ED"/>
    <w:rsid w:val="00645CD2"/>
    <w:rsid w:val="0065085F"/>
    <w:rsid w:val="00654361"/>
    <w:rsid w:val="0065695B"/>
    <w:rsid w:val="00657472"/>
    <w:rsid w:val="00657E48"/>
    <w:rsid w:val="00660A8B"/>
    <w:rsid w:val="006637D6"/>
    <w:rsid w:val="00664ACE"/>
    <w:rsid w:val="006743AD"/>
    <w:rsid w:val="00680B22"/>
    <w:rsid w:val="0068242A"/>
    <w:rsid w:val="00682613"/>
    <w:rsid w:val="00682B57"/>
    <w:rsid w:val="006847A3"/>
    <w:rsid w:val="00690277"/>
    <w:rsid w:val="0069219F"/>
    <w:rsid w:val="00695762"/>
    <w:rsid w:val="006A17A6"/>
    <w:rsid w:val="006A30AF"/>
    <w:rsid w:val="006A3291"/>
    <w:rsid w:val="006A5610"/>
    <w:rsid w:val="006A5F96"/>
    <w:rsid w:val="006A7FE2"/>
    <w:rsid w:val="006B48FD"/>
    <w:rsid w:val="006B59A1"/>
    <w:rsid w:val="006C2D24"/>
    <w:rsid w:val="006C481B"/>
    <w:rsid w:val="006D0750"/>
    <w:rsid w:val="006D18CA"/>
    <w:rsid w:val="006D26C2"/>
    <w:rsid w:val="006D3D3E"/>
    <w:rsid w:val="006D4D0B"/>
    <w:rsid w:val="006D5157"/>
    <w:rsid w:val="006D5350"/>
    <w:rsid w:val="006D6890"/>
    <w:rsid w:val="006E1A6B"/>
    <w:rsid w:val="006E4366"/>
    <w:rsid w:val="006E5E38"/>
    <w:rsid w:val="006E618B"/>
    <w:rsid w:val="006F0BC4"/>
    <w:rsid w:val="006F21B3"/>
    <w:rsid w:val="006F222E"/>
    <w:rsid w:val="006F49F1"/>
    <w:rsid w:val="006F4E16"/>
    <w:rsid w:val="00702CB8"/>
    <w:rsid w:val="00707885"/>
    <w:rsid w:val="0071023A"/>
    <w:rsid w:val="007107A7"/>
    <w:rsid w:val="007119D4"/>
    <w:rsid w:val="00712430"/>
    <w:rsid w:val="007153BD"/>
    <w:rsid w:val="00716E65"/>
    <w:rsid w:val="007172A4"/>
    <w:rsid w:val="0072114B"/>
    <w:rsid w:val="007244F6"/>
    <w:rsid w:val="00724928"/>
    <w:rsid w:val="00725832"/>
    <w:rsid w:val="00726D46"/>
    <w:rsid w:val="00732C90"/>
    <w:rsid w:val="007370BC"/>
    <w:rsid w:val="007375D5"/>
    <w:rsid w:val="007423B2"/>
    <w:rsid w:val="007456E2"/>
    <w:rsid w:val="00747707"/>
    <w:rsid w:val="00761029"/>
    <w:rsid w:val="0076148F"/>
    <w:rsid w:val="007656EC"/>
    <w:rsid w:val="00770B59"/>
    <w:rsid w:val="00771843"/>
    <w:rsid w:val="00773271"/>
    <w:rsid w:val="0077695D"/>
    <w:rsid w:val="0078171A"/>
    <w:rsid w:val="00782183"/>
    <w:rsid w:val="007831EE"/>
    <w:rsid w:val="00783B76"/>
    <w:rsid w:val="00783F35"/>
    <w:rsid w:val="007842F4"/>
    <w:rsid w:val="00787861"/>
    <w:rsid w:val="00791D68"/>
    <w:rsid w:val="0079272B"/>
    <w:rsid w:val="0079408B"/>
    <w:rsid w:val="007949EF"/>
    <w:rsid w:val="0079633F"/>
    <w:rsid w:val="0079657F"/>
    <w:rsid w:val="00796C3C"/>
    <w:rsid w:val="00797618"/>
    <w:rsid w:val="00797BEC"/>
    <w:rsid w:val="007A48EF"/>
    <w:rsid w:val="007A4E31"/>
    <w:rsid w:val="007A508C"/>
    <w:rsid w:val="007A5C06"/>
    <w:rsid w:val="007A5D52"/>
    <w:rsid w:val="007A5E35"/>
    <w:rsid w:val="007B09FE"/>
    <w:rsid w:val="007B19A0"/>
    <w:rsid w:val="007B59B6"/>
    <w:rsid w:val="007B7ADB"/>
    <w:rsid w:val="007C52E9"/>
    <w:rsid w:val="007E2555"/>
    <w:rsid w:val="007E3756"/>
    <w:rsid w:val="007F0B4E"/>
    <w:rsid w:val="007F16DF"/>
    <w:rsid w:val="007F2A06"/>
    <w:rsid w:val="007F3142"/>
    <w:rsid w:val="007F3ACB"/>
    <w:rsid w:val="008044DD"/>
    <w:rsid w:val="00804BA1"/>
    <w:rsid w:val="00805E5D"/>
    <w:rsid w:val="00811469"/>
    <w:rsid w:val="00812490"/>
    <w:rsid w:val="00812ECD"/>
    <w:rsid w:val="008132AD"/>
    <w:rsid w:val="00823513"/>
    <w:rsid w:val="0082390C"/>
    <w:rsid w:val="00823FCF"/>
    <w:rsid w:val="00827112"/>
    <w:rsid w:val="00827496"/>
    <w:rsid w:val="008319D9"/>
    <w:rsid w:val="008321A8"/>
    <w:rsid w:val="00835D9A"/>
    <w:rsid w:val="00835EF3"/>
    <w:rsid w:val="008419E4"/>
    <w:rsid w:val="00843492"/>
    <w:rsid w:val="00844319"/>
    <w:rsid w:val="008454F5"/>
    <w:rsid w:val="00846CF1"/>
    <w:rsid w:val="00847741"/>
    <w:rsid w:val="00855241"/>
    <w:rsid w:val="008555CF"/>
    <w:rsid w:val="00855BE0"/>
    <w:rsid w:val="00856EFD"/>
    <w:rsid w:val="00857F3C"/>
    <w:rsid w:val="00860A68"/>
    <w:rsid w:val="00871839"/>
    <w:rsid w:val="00875551"/>
    <w:rsid w:val="00876AC8"/>
    <w:rsid w:val="008829C7"/>
    <w:rsid w:val="00882B24"/>
    <w:rsid w:val="00882F9C"/>
    <w:rsid w:val="00885028"/>
    <w:rsid w:val="00886C11"/>
    <w:rsid w:val="00891455"/>
    <w:rsid w:val="00893160"/>
    <w:rsid w:val="0089569C"/>
    <w:rsid w:val="00895E5B"/>
    <w:rsid w:val="00896802"/>
    <w:rsid w:val="008A3B96"/>
    <w:rsid w:val="008A63DF"/>
    <w:rsid w:val="008A68FF"/>
    <w:rsid w:val="008B0A9A"/>
    <w:rsid w:val="008B1002"/>
    <w:rsid w:val="008B2C0A"/>
    <w:rsid w:val="008B582B"/>
    <w:rsid w:val="008B5A1E"/>
    <w:rsid w:val="008B5BDF"/>
    <w:rsid w:val="008C226C"/>
    <w:rsid w:val="008C37DF"/>
    <w:rsid w:val="008C5656"/>
    <w:rsid w:val="008C7A02"/>
    <w:rsid w:val="008C7EA6"/>
    <w:rsid w:val="008D0268"/>
    <w:rsid w:val="008D1558"/>
    <w:rsid w:val="008D2417"/>
    <w:rsid w:val="008D3E90"/>
    <w:rsid w:val="008D4CB6"/>
    <w:rsid w:val="008D50C7"/>
    <w:rsid w:val="008D7746"/>
    <w:rsid w:val="008E033C"/>
    <w:rsid w:val="008E146A"/>
    <w:rsid w:val="008E24D2"/>
    <w:rsid w:val="008E385E"/>
    <w:rsid w:val="008E4D86"/>
    <w:rsid w:val="008E6B67"/>
    <w:rsid w:val="008F162C"/>
    <w:rsid w:val="008F3EE5"/>
    <w:rsid w:val="008F6322"/>
    <w:rsid w:val="008F7203"/>
    <w:rsid w:val="00904229"/>
    <w:rsid w:val="00905001"/>
    <w:rsid w:val="00906A2B"/>
    <w:rsid w:val="009116A2"/>
    <w:rsid w:val="00911A6A"/>
    <w:rsid w:val="0091343C"/>
    <w:rsid w:val="00913874"/>
    <w:rsid w:val="009174D0"/>
    <w:rsid w:val="00921D38"/>
    <w:rsid w:val="0092562C"/>
    <w:rsid w:val="00927D4F"/>
    <w:rsid w:val="00931A61"/>
    <w:rsid w:val="0093778A"/>
    <w:rsid w:val="0094059F"/>
    <w:rsid w:val="00943F1C"/>
    <w:rsid w:val="00946375"/>
    <w:rsid w:val="00951B33"/>
    <w:rsid w:val="00952C12"/>
    <w:rsid w:val="009540EB"/>
    <w:rsid w:val="0095714E"/>
    <w:rsid w:val="009607D7"/>
    <w:rsid w:val="00960DD9"/>
    <w:rsid w:val="00971C9B"/>
    <w:rsid w:val="009727D3"/>
    <w:rsid w:val="009729A4"/>
    <w:rsid w:val="00973416"/>
    <w:rsid w:val="00974016"/>
    <w:rsid w:val="00974649"/>
    <w:rsid w:val="00977AED"/>
    <w:rsid w:val="00983AB6"/>
    <w:rsid w:val="0099613A"/>
    <w:rsid w:val="00997518"/>
    <w:rsid w:val="009A379F"/>
    <w:rsid w:val="009A768F"/>
    <w:rsid w:val="009A7921"/>
    <w:rsid w:val="009B2BE6"/>
    <w:rsid w:val="009B4050"/>
    <w:rsid w:val="009B592C"/>
    <w:rsid w:val="009C0409"/>
    <w:rsid w:val="009C12E9"/>
    <w:rsid w:val="009D1667"/>
    <w:rsid w:val="009D1D06"/>
    <w:rsid w:val="009D22EC"/>
    <w:rsid w:val="009D2E8A"/>
    <w:rsid w:val="009D3B18"/>
    <w:rsid w:val="009D3F39"/>
    <w:rsid w:val="009D457D"/>
    <w:rsid w:val="009D681C"/>
    <w:rsid w:val="009E0BD5"/>
    <w:rsid w:val="009E1C7F"/>
    <w:rsid w:val="009E2CCF"/>
    <w:rsid w:val="009E361D"/>
    <w:rsid w:val="009E51E3"/>
    <w:rsid w:val="009E5720"/>
    <w:rsid w:val="009E62EA"/>
    <w:rsid w:val="009E70A1"/>
    <w:rsid w:val="009F21F0"/>
    <w:rsid w:val="009F2583"/>
    <w:rsid w:val="009F3D83"/>
    <w:rsid w:val="009F7417"/>
    <w:rsid w:val="009F77A8"/>
    <w:rsid w:val="00A02FD6"/>
    <w:rsid w:val="00A0472D"/>
    <w:rsid w:val="00A06AEA"/>
    <w:rsid w:val="00A06B5D"/>
    <w:rsid w:val="00A12916"/>
    <w:rsid w:val="00A13E7F"/>
    <w:rsid w:val="00A147C1"/>
    <w:rsid w:val="00A14BAC"/>
    <w:rsid w:val="00A15B61"/>
    <w:rsid w:val="00A16062"/>
    <w:rsid w:val="00A1697A"/>
    <w:rsid w:val="00A2166F"/>
    <w:rsid w:val="00A24B55"/>
    <w:rsid w:val="00A265BE"/>
    <w:rsid w:val="00A304AA"/>
    <w:rsid w:val="00A31617"/>
    <w:rsid w:val="00A33083"/>
    <w:rsid w:val="00A37956"/>
    <w:rsid w:val="00A413E0"/>
    <w:rsid w:val="00A433AA"/>
    <w:rsid w:val="00A447B6"/>
    <w:rsid w:val="00A457AA"/>
    <w:rsid w:val="00A46196"/>
    <w:rsid w:val="00A47168"/>
    <w:rsid w:val="00A55855"/>
    <w:rsid w:val="00A61620"/>
    <w:rsid w:val="00A62876"/>
    <w:rsid w:val="00A7369A"/>
    <w:rsid w:val="00A73A85"/>
    <w:rsid w:val="00A73F5F"/>
    <w:rsid w:val="00A76236"/>
    <w:rsid w:val="00A76F72"/>
    <w:rsid w:val="00A7710B"/>
    <w:rsid w:val="00A91FBB"/>
    <w:rsid w:val="00A93323"/>
    <w:rsid w:val="00A9486C"/>
    <w:rsid w:val="00A967C7"/>
    <w:rsid w:val="00A9708D"/>
    <w:rsid w:val="00AA2C67"/>
    <w:rsid w:val="00AA4952"/>
    <w:rsid w:val="00AA5486"/>
    <w:rsid w:val="00AB0F46"/>
    <w:rsid w:val="00AB16F9"/>
    <w:rsid w:val="00AB23D7"/>
    <w:rsid w:val="00AB243A"/>
    <w:rsid w:val="00AB5BB9"/>
    <w:rsid w:val="00AB6431"/>
    <w:rsid w:val="00AC3144"/>
    <w:rsid w:val="00AC52D7"/>
    <w:rsid w:val="00AC7369"/>
    <w:rsid w:val="00AD1095"/>
    <w:rsid w:val="00AD5E29"/>
    <w:rsid w:val="00AD6766"/>
    <w:rsid w:val="00AE7F5D"/>
    <w:rsid w:val="00AF0B72"/>
    <w:rsid w:val="00AF1C0F"/>
    <w:rsid w:val="00AF35C2"/>
    <w:rsid w:val="00AF42C2"/>
    <w:rsid w:val="00AF42DC"/>
    <w:rsid w:val="00AF47EF"/>
    <w:rsid w:val="00AF61D7"/>
    <w:rsid w:val="00AF6A34"/>
    <w:rsid w:val="00B04642"/>
    <w:rsid w:val="00B04E01"/>
    <w:rsid w:val="00B06874"/>
    <w:rsid w:val="00B07EAE"/>
    <w:rsid w:val="00B1075F"/>
    <w:rsid w:val="00B111E1"/>
    <w:rsid w:val="00B135A2"/>
    <w:rsid w:val="00B13697"/>
    <w:rsid w:val="00B20EE8"/>
    <w:rsid w:val="00B26583"/>
    <w:rsid w:val="00B2763C"/>
    <w:rsid w:val="00B27F58"/>
    <w:rsid w:val="00B31866"/>
    <w:rsid w:val="00B3257D"/>
    <w:rsid w:val="00B328F8"/>
    <w:rsid w:val="00B43B1B"/>
    <w:rsid w:val="00B45029"/>
    <w:rsid w:val="00B472A4"/>
    <w:rsid w:val="00B47314"/>
    <w:rsid w:val="00B47B1B"/>
    <w:rsid w:val="00B47EEE"/>
    <w:rsid w:val="00B51A9A"/>
    <w:rsid w:val="00B54542"/>
    <w:rsid w:val="00B55DC5"/>
    <w:rsid w:val="00B57F87"/>
    <w:rsid w:val="00B57FCF"/>
    <w:rsid w:val="00B601F1"/>
    <w:rsid w:val="00B6026B"/>
    <w:rsid w:val="00B61D5A"/>
    <w:rsid w:val="00B62A5F"/>
    <w:rsid w:val="00B66CE7"/>
    <w:rsid w:val="00B7058E"/>
    <w:rsid w:val="00B728C8"/>
    <w:rsid w:val="00B75224"/>
    <w:rsid w:val="00B757EC"/>
    <w:rsid w:val="00B77BD4"/>
    <w:rsid w:val="00B82E7B"/>
    <w:rsid w:val="00B85450"/>
    <w:rsid w:val="00B85AA5"/>
    <w:rsid w:val="00B8613C"/>
    <w:rsid w:val="00B872B1"/>
    <w:rsid w:val="00B92990"/>
    <w:rsid w:val="00B9562C"/>
    <w:rsid w:val="00B969F0"/>
    <w:rsid w:val="00BA0117"/>
    <w:rsid w:val="00BA05C6"/>
    <w:rsid w:val="00BA1233"/>
    <w:rsid w:val="00BA161A"/>
    <w:rsid w:val="00BA5459"/>
    <w:rsid w:val="00BA5775"/>
    <w:rsid w:val="00BA5AB5"/>
    <w:rsid w:val="00BA651D"/>
    <w:rsid w:val="00BB0721"/>
    <w:rsid w:val="00BB1B7F"/>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56C7"/>
    <w:rsid w:val="00C00C96"/>
    <w:rsid w:val="00C019EF"/>
    <w:rsid w:val="00C033E5"/>
    <w:rsid w:val="00C04A1F"/>
    <w:rsid w:val="00C04A31"/>
    <w:rsid w:val="00C0554A"/>
    <w:rsid w:val="00C11D58"/>
    <w:rsid w:val="00C13A33"/>
    <w:rsid w:val="00C1408A"/>
    <w:rsid w:val="00C160A4"/>
    <w:rsid w:val="00C25CB5"/>
    <w:rsid w:val="00C26021"/>
    <w:rsid w:val="00C26F3B"/>
    <w:rsid w:val="00C30BF8"/>
    <w:rsid w:val="00C32582"/>
    <w:rsid w:val="00C33A99"/>
    <w:rsid w:val="00C34A6E"/>
    <w:rsid w:val="00C421CA"/>
    <w:rsid w:val="00C46385"/>
    <w:rsid w:val="00C5084D"/>
    <w:rsid w:val="00C508D6"/>
    <w:rsid w:val="00C51A75"/>
    <w:rsid w:val="00C520E9"/>
    <w:rsid w:val="00C5255D"/>
    <w:rsid w:val="00C54AB8"/>
    <w:rsid w:val="00C603EB"/>
    <w:rsid w:val="00C664BB"/>
    <w:rsid w:val="00C66930"/>
    <w:rsid w:val="00C675CC"/>
    <w:rsid w:val="00C7069F"/>
    <w:rsid w:val="00C71718"/>
    <w:rsid w:val="00C73D01"/>
    <w:rsid w:val="00C7538F"/>
    <w:rsid w:val="00C76A20"/>
    <w:rsid w:val="00C77C7E"/>
    <w:rsid w:val="00C77D2A"/>
    <w:rsid w:val="00C809FF"/>
    <w:rsid w:val="00C86C99"/>
    <w:rsid w:val="00C9580A"/>
    <w:rsid w:val="00C9704F"/>
    <w:rsid w:val="00CA207A"/>
    <w:rsid w:val="00CA20A5"/>
    <w:rsid w:val="00CA3C33"/>
    <w:rsid w:val="00CA4369"/>
    <w:rsid w:val="00CA6583"/>
    <w:rsid w:val="00CB28C9"/>
    <w:rsid w:val="00CB672B"/>
    <w:rsid w:val="00CB7211"/>
    <w:rsid w:val="00CC1A98"/>
    <w:rsid w:val="00CC380F"/>
    <w:rsid w:val="00CC6723"/>
    <w:rsid w:val="00CC7EC5"/>
    <w:rsid w:val="00CD45BE"/>
    <w:rsid w:val="00CD5112"/>
    <w:rsid w:val="00CD642B"/>
    <w:rsid w:val="00CD6A77"/>
    <w:rsid w:val="00CD6FEB"/>
    <w:rsid w:val="00CE4087"/>
    <w:rsid w:val="00CE61D3"/>
    <w:rsid w:val="00CE67DD"/>
    <w:rsid w:val="00CF13F4"/>
    <w:rsid w:val="00CF4683"/>
    <w:rsid w:val="00CF5258"/>
    <w:rsid w:val="00CF7148"/>
    <w:rsid w:val="00D007DE"/>
    <w:rsid w:val="00D01EF1"/>
    <w:rsid w:val="00D0245E"/>
    <w:rsid w:val="00D0259D"/>
    <w:rsid w:val="00D03DB3"/>
    <w:rsid w:val="00D047DC"/>
    <w:rsid w:val="00D04DA5"/>
    <w:rsid w:val="00D05AFF"/>
    <w:rsid w:val="00D06C03"/>
    <w:rsid w:val="00D06ECB"/>
    <w:rsid w:val="00D10A4C"/>
    <w:rsid w:val="00D11BBC"/>
    <w:rsid w:val="00D13EF1"/>
    <w:rsid w:val="00D144A8"/>
    <w:rsid w:val="00D15D08"/>
    <w:rsid w:val="00D205A6"/>
    <w:rsid w:val="00D20C17"/>
    <w:rsid w:val="00D20C8C"/>
    <w:rsid w:val="00D21D29"/>
    <w:rsid w:val="00D26713"/>
    <w:rsid w:val="00D30230"/>
    <w:rsid w:val="00D318F2"/>
    <w:rsid w:val="00D32EA8"/>
    <w:rsid w:val="00D401D5"/>
    <w:rsid w:val="00D41605"/>
    <w:rsid w:val="00D42ABD"/>
    <w:rsid w:val="00D42E31"/>
    <w:rsid w:val="00D42EB6"/>
    <w:rsid w:val="00D44FB6"/>
    <w:rsid w:val="00D45A3C"/>
    <w:rsid w:val="00D47BAC"/>
    <w:rsid w:val="00D510B6"/>
    <w:rsid w:val="00D515B8"/>
    <w:rsid w:val="00D51F83"/>
    <w:rsid w:val="00D52B90"/>
    <w:rsid w:val="00D52DB1"/>
    <w:rsid w:val="00D54869"/>
    <w:rsid w:val="00D67AFE"/>
    <w:rsid w:val="00D72C5E"/>
    <w:rsid w:val="00D74BD3"/>
    <w:rsid w:val="00D77200"/>
    <w:rsid w:val="00D81724"/>
    <w:rsid w:val="00D8210F"/>
    <w:rsid w:val="00D83C64"/>
    <w:rsid w:val="00D94B3D"/>
    <w:rsid w:val="00D94F5F"/>
    <w:rsid w:val="00DA1668"/>
    <w:rsid w:val="00DA20D3"/>
    <w:rsid w:val="00DA3493"/>
    <w:rsid w:val="00DA3852"/>
    <w:rsid w:val="00DA49C4"/>
    <w:rsid w:val="00DA63BF"/>
    <w:rsid w:val="00DA6F83"/>
    <w:rsid w:val="00DB42BD"/>
    <w:rsid w:val="00DB605C"/>
    <w:rsid w:val="00DC0823"/>
    <w:rsid w:val="00DC1881"/>
    <w:rsid w:val="00DC21BC"/>
    <w:rsid w:val="00DC3E4C"/>
    <w:rsid w:val="00DC4E40"/>
    <w:rsid w:val="00DC55C7"/>
    <w:rsid w:val="00DC60A4"/>
    <w:rsid w:val="00DC6422"/>
    <w:rsid w:val="00DD0539"/>
    <w:rsid w:val="00DD5DDA"/>
    <w:rsid w:val="00DE0D99"/>
    <w:rsid w:val="00DE3E55"/>
    <w:rsid w:val="00DE584B"/>
    <w:rsid w:val="00DF22D8"/>
    <w:rsid w:val="00DF41EE"/>
    <w:rsid w:val="00DF76E3"/>
    <w:rsid w:val="00E02024"/>
    <w:rsid w:val="00E03013"/>
    <w:rsid w:val="00E03104"/>
    <w:rsid w:val="00E03ABA"/>
    <w:rsid w:val="00E04B1C"/>
    <w:rsid w:val="00E04EC2"/>
    <w:rsid w:val="00E053A5"/>
    <w:rsid w:val="00E10213"/>
    <w:rsid w:val="00E108F5"/>
    <w:rsid w:val="00E11808"/>
    <w:rsid w:val="00E11F16"/>
    <w:rsid w:val="00E14E1E"/>
    <w:rsid w:val="00E211A4"/>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2359"/>
    <w:rsid w:val="00E52669"/>
    <w:rsid w:val="00E53823"/>
    <w:rsid w:val="00E53C01"/>
    <w:rsid w:val="00E544A0"/>
    <w:rsid w:val="00E56193"/>
    <w:rsid w:val="00E576B9"/>
    <w:rsid w:val="00E57FE0"/>
    <w:rsid w:val="00E613A3"/>
    <w:rsid w:val="00E621AC"/>
    <w:rsid w:val="00E6468A"/>
    <w:rsid w:val="00E701B2"/>
    <w:rsid w:val="00E709E6"/>
    <w:rsid w:val="00E70AEC"/>
    <w:rsid w:val="00E71207"/>
    <w:rsid w:val="00E71AAB"/>
    <w:rsid w:val="00E727A7"/>
    <w:rsid w:val="00E73444"/>
    <w:rsid w:val="00E73E77"/>
    <w:rsid w:val="00E742A9"/>
    <w:rsid w:val="00E746F4"/>
    <w:rsid w:val="00E77F26"/>
    <w:rsid w:val="00E855FF"/>
    <w:rsid w:val="00E93CA8"/>
    <w:rsid w:val="00E97A65"/>
    <w:rsid w:val="00EA0FFC"/>
    <w:rsid w:val="00EA337F"/>
    <w:rsid w:val="00EA5A90"/>
    <w:rsid w:val="00EB092A"/>
    <w:rsid w:val="00EB19B2"/>
    <w:rsid w:val="00EB1FF2"/>
    <w:rsid w:val="00EB4A01"/>
    <w:rsid w:val="00EB5570"/>
    <w:rsid w:val="00EB6387"/>
    <w:rsid w:val="00EB7D50"/>
    <w:rsid w:val="00EC4562"/>
    <w:rsid w:val="00EC6878"/>
    <w:rsid w:val="00ED077F"/>
    <w:rsid w:val="00ED236B"/>
    <w:rsid w:val="00ED58B7"/>
    <w:rsid w:val="00ED5923"/>
    <w:rsid w:val="00EE082D"/>
    <w:rsid w:val="00EE2B02"/>
    <w:rsid w:val="00EE31B3"/>
    <w:rsid w:val="00EE392C"/>
    <w:rsid w:val="00EF11A3"/>
    <w:rsid w:val="00EF1DE8"/>
    <w:rsid w:val="00EF2E64"/>
    <w:rsid w:val="00EF6DEE"/>
    <w:rsid w:val="00EF6F5B"/>
    <w:rsid w:val="00F023B8"/>
    <w:rsid w:val="00F10068"/>
    <w:rsid w:val="00F11DC3"/>
    <w:rsid w:val="00F158C5"/>
    <w:rsid w:val="00F20E21"/>
    <w:rsid w:val="00F212C3"/>
    <w:rsid w:val="00F252AD"/>
    <w:rsid w:val="00F25358"/>
    <w:rsid w:val="00F320EF"/>
    <w:rsid w:val="00F3218A"/>
    <w:rsid w:val="00F34787"/>
    <w:rsid w:val="00F358CB"/>
    <w:rsid w:val="00F405D2"/>
    <w:rsid w:val="00F44AA9"/>
    <w:rsid w:val="00F45305"/>
    <w:rsid w:val="00F47743"/>
    <w:rsid w:val="00F519FB"/>
    <w:rsid w:val="00F54E2D"/>
    <w:rsid w:val="00F56887"/>
    <w:rsid w:val="00F57119"/>
    <w:rsid w:val="00F60CB5"/>
    <w:rsid w:val="00F70635"/>
    <w:rsid w:val="00F738B9"/>
    <w:rsid w:val="00F74241"/>
    <w:rsid w:val="00F77867"/>
    <w:rsid w:val="00F77A11"/>
    <w:rsid w:val="00F77AD1"/>
    <w:rsid w:val="00F804D1"/>
    <w:rsid w:val="00F81275"/>
    <w:rsid w:val="00F8766A"/>
    <w:rsid w:val="00F92391"/>
    <w:rsid w:val="00F96E1F"/>
    <w:rsid w:val="00FA0267"/>
    <w:rsid w:val="00FA1FBB"/>
    <w:rsid w:val="00FB3AD9"/>
    <w:rsid w:val="00FC08B7"/>
    <w:rsid w:val="00FC2270"/>
    <w:rsid w:val="00FC5035"/>
    <w:rsid w:val="00FC5AE6"/>
    <w:rsid w:val="00FC6A8F"/>
    <w:rsid w:val="00FD413B"/>
    <w:rsid w:val="00FD4E3A"/>
    <w:rsid w:val="00FD54FE"/>
    <w:rsid w:val="00FD6260"/>
    <w:rsid w:val="00FD70D0"/>
    <w:rsid w:val="00FE7D95"/>
    <w:rsid w:val="00FF0482"/>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List Paragraph"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639533047">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11488657">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257713504">
      <w:bodyDiv w:val="1"/>
      <w:marLeft w:val="0"/>
      <w:marRight w:val="0"/>
      <w:marTop w:val="0"/>
      <w:marBottom w:val="0"/>
      <w:divBdr>
        <w:top w:val="none" w:sz="0" w:space="0" w:color="auto"/>
        <w:left w:val="none" w:sz="0" w:space="0" w:color="auto"/>
        <w:bottom w:val="none" w:sz="0" w:space="0" w:color="auto"/>
        <w:right w:val="none" w:sz="0" w:space="0" w:color="auto"/>
      </w:divBdr>
    </w:div>
    <w:div w:id="19227914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34"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hyperlink" Target="http://epp.eurostat.ec.europa.eu/portal/page/portal/eurostat/home"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yperlink" Target="http://www.espon.eu/main/Menu_Projects/"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2.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3.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A65969B-94DB-4950-8B45-ADA77D544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2920</Words>
  <Characters>16646</Characters>
  <Application>Microsoft Office Word</Application>
  <DocSecurity>0</DocSecurity>
  <Lines>138</Lines>
  <Paragraphs>39</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19527</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13</cp:revision>
  <cp:lastPrinted>2012-11-14T09:35:00Z</cp:lastPrinted>
  <dcterms:created xsi:type="dcterms:W3CDTF">2012-11-20T11:12:00Z</dcterms:created>
  <dcterms:modified xsi:type="dcterms:W3CDTF">2012-11-27T13:05:00Z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