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1A2043" w:rsidRDefault="00A11AFC" w:rsidP="000D3299">
      <w:pPr>
        <w:spacing w:line="240" w:lineRule="auto"/>
        <w:ind w:left="-851"/>
        <w:jc w:val="center"/>
        <w:rPr>
          <w:rFonts w:ascii="Arial" w:hAnsi="Arial" w:cs="Arial"/>
          <w:sz w:val="40"/>
          <w:szCs w:val="40"/>
          <w:lang w:val="en-US"/>
        </w:rPr>
      </w:pPr>
      <w:r w:rsidRPr="001A2043">
        <w:rPr>
          <w:rFonts w:ascii="Arial" w:hAnsi="Arial" w:cs="Arial"/>
          <w:sz w:val="40"/>
          <w:szCs w:val="40"/>
          <w:lang w:val="en-US"/>
        </w:rPr>
        <w:t>France</w:t>
      </w:r>
      <w:r w:rsidR="009B2329">
        <w:rPr>
          <w:rFonts w:ascii="Arial" w:hAnsi="Arial" w:cs="Arial"/>
          <w:sz w:val="40"/>
          <w:szCs w:val="40"/>
          <w:lang w:val="en-US"/>
        </w:rPr>
        <w:t xml:space="preserve"> (Manche) – </w:t>
      </w:r>
      <w:r w:rsidR="009B2329" w:rsidRPr="001A2043">
        <w:rPr>
          <w:rFonts w:ascii="Arial" w:hAnsi="Arial" w:cs="Arial"/>
          <w:sz w:val="40"/>
          <w:szCs w:val="40"/>
          <w:lang w:val="en-US"/>
        </w:rPr>
        <w:t>England</w:t>
      </w:r>
    </w:p>
    <w:p w:rsidR="00E613A3" w:rsidRDefault="00E912E8"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2848" behindDoc="0" locked="0" layoutInCell="1" allowOverlap="1">
            <wp:simplePos x="0" y="0"/>
            <wp:positionH relativeFrom="column">
              <wp:posOffset>2904490</wp:posOffset>
            </wp:positionH>
            <wp:positionV relativeFrom="paragraph">
              <wp:posOffset>4013200</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A04262">
        <w:rPr>
          <w:rFonts w:ascii="Arial" w:hAnsi="Arial" w:cs="Arial"/>
          <w:noProof/>
          <w:sz w:val="32"/>
          <w:szCs w:val="32"/>
          <w:lang w:val="en-US"/>
        </w:rPr>
        <w:drawing>
          <wp:inline distT="0" distB="0" distL="0" distR="0">
            <wp:extent cx="2543175" cy="4762500"/>
            <wp:effectExtent l="19050" t="0" r="9525"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43175" cy="47625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1A2043" w:rsidRDefault="001A2043" w:rsidP="001A2043">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A2043" w:rsidRDefault="001A2043" w:rsidP="001A2043">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BF547E" w:rsidRPr="0085195F" w:rsidRDefault="000A647A" w:rsidP="00BF547E">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BF547E" w:rsidRPr="0085195F">
        <w:t>This is intended as an electronic publication so map quality is generally high to allow users to zoom into specific territories.</w:t>
      </w:r>
    </w:p>
    <w:p w:rsidR="000A647A" w:rsidRDefault="00BF547E" w:rsidP="00BF547E">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F390C" w:rsidRDefault="00BF390C" w:rsidP="00BF390C">
      <w:r>
        <w:t>In the following the traffic light for each indicator represents how your programme territory compares to wider European and national medians where green = your programme area performs better for that indicator, yellow = similar, and red = worse.”</w:t>
      </w:r>
    </w:p>
    <w:p w:rsidR="0072713C" w:rsidRDefault="0072713C" w:rsidP="0072713C">
      <w:r>
        <w:t>In creating the traffic</w:t>
      </w:r>
      <w:r w:rsidR="00A93662">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D47B30" w:rsidRPr="00973E76" w:rsidRDefault="00D47B30" w:rsidP="00D47B30">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07136A">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A204F1" w:rsidRDefault="00A204F1" w:rsidP="00C33A99">
      <w:r>
        <w:rPr>
          <w:noProof/>
          <w:lang w:val="en-US"/>
        </w:rPr>
        <w:drawing>
          <wp:anchor distT="0" distB="0" distL="114300" distR="114300" simplePos="0" relativeHeight="251672064" behindDoc="1" locked="0" layoutInCell="1" allowOverlap="1">
            <wp:simplePos x="0" y="0"/>
            <wp:positionH relativeFrom="column">
              <wp:posOffset>-27305</wp:posOffset>
            </wp:positionH>
            <wp:positionV relativeFrom="paragraph">
              <wp:posOffset>26035</wp:posOffset>
            </wp:positionV>
            <wp:extent cx="5273675" cy="2668270"/>
            <wp:effectExtent l="19050" t="0" r="3175" b="0"/>
            <wp:wrapTight wrapText="bothSides">
              <wp:wrapPolygon edited="0">
                <wp:start x="-78" y="0"/>
                <wp:lineTo x="-78" y="21436"/>
                <wp:lineTo x="21613" y="21436"/>
                <wp:lineTo x="21613" y="0"/>
                <wp:lineTo x="-78" y="0"/>
              </wp:wrapPolygon>
            </wp:wrapTight>
            <wp:docPr id="8" name="Bild 1" descr="P:\LU_2011_ESPON_TerrEvi_100269\03_Project development\WorkinProgress_FactSheets\Factsheets_CBC_neu\TL_CBC4\France_Manche_Eng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France_Manche_England 1.png"/>
                    <pic:cNvPicPr>
                      <a:picLocks noChangeAspect="1" noChangeArrowheads="1"/>
                    </pic:cNvPicPr>
                  </pic:nvPicPr>
                  <pic:blipFill>
                    <a:blip r:embed="rId16" cstate="print"/>
                    <a:srcRect/>
                    <a:stretch>
                      <a:fillRect/>
                    </a:stretch>
                  </pic:blipFill>
                  <pic:spPr bwMode="auto">
                    <a:xfrm>
                      <a:off x="0" y="0"/>
                      <a:ext cx="5273675" cy="2668270"/>
                    </a:xfrm>
                    <a:prstGeom prst="rect">
                      <a:avLst/>
                    </a:prstGeom>
                    <a:noFill/>
                    <a:ln w="9525">
                      <a:noFill/>
                      <a:miter lim="800000"/>
                      <a:headEnd/>
                      <a:tailEnd/>
                    </a:ln>
                  </pic:spPr>
                </pic:pic>
              </a:graphicData>
            </a:graphic>
          </wp:anchor>
        </w:drawing>
      </w:r>
    </w:p>
    <w:p w:rsidR="0007136A" w:rsidRDefault="0007136A" w:rsidP="0007136A">
      <w:pPr>
        <w:spacing w:before="120"/>
      </w:pPr>
      <w:r w:rsidRPr="00E9150A">
        <w:t xml:space="preserve">According to all indicators reported above, the </w:t>
      </w:r>
      <w:r w:rsidRPr="002743B9">
        <w:t>France (</w:t>
      </w:r>
      <w:r w:rsidR="000A3D00">
        <w:t>Manche</w:t>
      </w:r>
      <w:r w:rsidRPr="002743B9">
        <w:t>) – England</w:t>
      </w:r>
      <w:r w:rsidRPr="00E9150A">
        <w:t xml:space="preserve"> CBC area performs at a better level than the EU27+4 space and all CBC ones. </w:t>
      </w:r>
    </w:p>
    <w:p w:rsidR="0007136A" w:rsidRPr="00382FE0" w:rsidRDefault="0007136A" w:rsidP="0007136A">
      <w:pPr>
        <w:spacing w:before="120"/>
      </w:pPr>
      <w:r w:rsidRPr="00E9150A">
        <w:lastRenderedPageBreak/>
        <w:t xml:space="preserve">Considering the objective of R&amp;D expenditure of  percentage of the GDP - one of the five headline targets in </w:t>
      </w:r>
      <w:r w:rsidRPr="00382FE0">
        <w:t>the Europe 2020 Strategy - the CBC area is still in a better position than all CBC</w:t>
      </w:r>
      <w:r>
        <w:t xml:space="preserve">s but it performs </w:t>
      </w:r>
      <w:r w:rsidRPr="00382FE0">
        <w:t>at the same level as the EU27+4 space</w:t>
      </w:r>
      <w:r>
        <w:t xml:space="preserve">, France </w:t>
      </w:r>
      <w:r w:rsidRPr="00382FE0">
        <w:t xml:space="preserve">and </w:t>
      </w:r>
      <w:r>
        <w:t xml:space="preserve">the </w:t>
      </w:r>
      <w:r w:rsidRPr="00382FE0">
        <w:t>United Kingdom. Moreo</w:t>
      </w:r>
      <w:r>
        <w:t>ver, the CBC area is characteris</w:t>
      </w:r>
      <w:r w:rsidRPr="00382FE0">
        <w:t xml:space="preserve">ed by a high level of internal disparity and </w:t>
      </w:r>
    </w:p>
    <w:p w:rsidR="0007136A" w:rsidRPr="00382FE0" w:rsidRDefault="0007136A" w:rsidP="0007136A">
      <w:r w:rsidRPr="00382FE0">
        <w:t>Concerning the ratio of employment in knowledge-intensive service</w:t>
      </w:r>
      <w:r>
        <w:t>s</w:t>
      </w:r>
      <w:r w:rsidRPr="00382FE0">
        <w:t xml:space="preserve"> to the total employment in 2010, the CBC area has higher values than the EU27+4 space a</w:t>
      </w:r>
      <w:r w:rsidR="00610091">
        <w:t>nd all CBCs; higher than France b</w:t>
      </w:r>
      <w:r>
        <w:t>ut lower than the United Kingdom.</w:t>
      </w:r>
      <w:r w:rsidRPr="00382FE0">
        <w:t xml:space="preserve"> The distribution inside the CBC results in a low level of internal disparity. </w:t>
      </w:r>
    </w:p>
    <w:p w:rsidR="0007136A" w:rsidRPr="00382FE0" w:rsidRDefault="0007136A" w:rsidP="0007136A">
      <w:r w:rsidRPr="00382FE0">
        <w:t>In terms of percentage of individuals regularly using internet in 2011, the CBC area has higher values than EU27+4 space, all CBCs, Belgium, France and Netherlands, but it performs slightly worse than Netherlands, with a low internal disparity.</w:t>
      </w:r>
    </w:p>
    <w:p w:rsidR="0007136A" w:rsidRPr="00382FE0" w:rsidRDefault="0007136A" w:rsidP="0007136A">
      <w:r w:rsidRPr="00382FE0">
        <w:t xml:space="preserve">According to the classification of the KIT project, MAP 1 identifies </w:t>
      </w:r>
      <w:r>
        <w:t>two</w:t>
      </w:r>
      <w:r w:rsidRPr="00382FE0">
        <w:t xml:space="preserve"> territorial patterns of innovation:  </w:t>
      </w:r>
    </w:p>
    <w:p w:rsidR="0007136A" w:rsidRPr="001A612A" w:rsidRDefault="0007136A" w:rsidP="00610091">
      <w:pPr>
        <w:pStyle w:val="ListParagraph"/>
        <w:numPr>
          <w:ilvl w:val="0"/>
          <w:numId w:val="14"/>
        </w:numPr>
        <w:spacing w:line="240" w:lineRule="atLeast"/>
        <w:ind w:left="714" w:hanging="357"/>
        <w:contextualSpacing w:val="0"/>
        <w:rPr>
          <w:szCs w:val="20"/>
        </w:rPr>
      </w:pPr>
      <w:r w:rsidRPr="00382FE0">
        <w:rPr>
          <w:rFonts w:cstheme="minorHAnsi"/>
          <w:szCs w:val="20"/>
        </w:rPr>
        <w:t>‘Smart and creative diversification area’ in the French</w:t>
      </w:r>
      <w:r>
        <w:rPr>
          <w:rFonts w:cstheme="minorHAnsi"/>
          <w:szCs w:val="20"/>
        </w:rPr>
        <w:t xml:space="preserve"> part</w:t>
      </w:r>
      <w:r w:rsidRPr="00382FE0">
        <w:rPr>
          <w:rFonts w:cstheme="minorHAnsi"/>
          <w:szCs w:val="20"/>
        </w:rPr>
        <w:t xml:space="preserve"> and </w:t>
      </w:r>
      <w:r>
        <w:rPr>
          <w:rFonts w:cstheme="minorHAnsi"/>
          <w:szCs w:val="20"/>
        </w:rPr>
        <w:t xml:space="preserve">in </w:t>
      </w:r>
      <w:r w:rsidRPr="00492D09">
        <w:rPr>
          <w:rFonts w:cstheme="minorHAnsi"/>
          <w:szCs w:val="20"/>
        </w:rPr>
        <w:t>Cornwall and Isles of Scilly</w:t>
      </w:r>
      <w:r w:rsidRPr="00382FE0">
        <w:rPr>
          <w:rFonts w:cstheme="minorHAnsi"/>
          <w:szCs w:val="20"/>
        </w:rPr>
        <w:t>. It</w:t>
      </w:r>
      <w:r>
        <w:rPr>
          <w:rFonts w:cstheme="minorHAnsi"/>
          <w:szCs w:val="20"/>
        </w:rPr>
        <w:t xml:space="preserve">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5A5FC4" w:rsidRDefault="0007136A" w:rsidP="00610091">
      <w:pPr>
        <w:pStyle w:val="ListParagraph"/>
        <w:numPr>
          <w:ilvl w:val="0"/>
          <w:numId w:val="14"/>
        </w:numPr>
      </w:pPr>
      <w:r w:rsidRPr="00610091">
        <w:rPr>
          <w:rFonts w:cstheme="minorHAnsi"/>
          <w:szCs w:val="20"/>
        </w:rPr>
        <w:t>‘Smart technological application area’, in remaining British regions. It is defined by a high product innovation level, with a limited degree of local applied science and R&amp;D endowment, and a high creativity which allows translating external basic science and applied science knowledge into innovation.</w:t>
      </w:r>
    </w:p>
    <w:p w:rsidR="0072713C" w:rsidRDefault="0072713C">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303201">
        <w:rPr>
          <w:b/>
        </w:rPr>
        <w:t>France</w:t>
      </w:r>
      <w:r w:rsidR="009B2329">
        <w:rPr>
          <w:b/>
        </w:rPr>
        <w:t xml:space="preserve"> (Manche) - England</w:t>
      </w:r>
    </w:p>
    <w:p w:rsidR="008A3B96" w:rsidRDefault="008A3B96" w:rsidP="008A3B96"/>
    <w:p w:rsidR="008A3B96" w:rsidRDefault="00F5693B" w:rsidP="008A3B96">
      <w:pPr>
        <w:spacing w:after="0" w:line="240" w:lineRule="auto"/>
      </w:pPr>
      <w:r w:rsidRPr="00F5693B">
        <w:rPr>
          <w:noProof/>
          <w:lang w:val="de-DE" w:eastAsia="de-DE"/>
        </w:rPr>
        <w:pict>
          <v:oval id="_x0000_s1029" style="position:absolute;left:0;text-align:left;margin-left:66.75pt;margin-top:194.65pt;width:77.15pt;height:60.65pt;rotation:-1899189fd;z-index:251663872" filled="f" strokecolor="#0070c0" strokeweight="2pt"/>
        </w:pict>
      </w:r>
      <w:r w:rsidR="001F341D">
        <w:rPr>
          <w:noProof/>
          <w:lang w:val="en-US"/>
        </w:rPr>
        <w:drawing>
          <wp:inline distT="0" distB="0" distL="0" distR="0">
            <wp:extent cx="5278755" cy="6284584"/>
            <wp:effectExtent l="19050" t="0" r="0" b="0"/>
            <wp:docPr id="11"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4F26B8" w:rsidRDefault="004F26B8">
      <w:pPr>
        <w:spacing w:after="0" w:line="240" w:lineRule="auto"/>
        <w:jc w:val="left"/>
      </w:pPr>
      <w:r>
        <w:br w:type="page"/>
      </w:r>
    </w:p>
    <w:p w:rsidR="004F26B8" w:rsidRDefault="004F26B8" w:rsidP="004F26B8">
      <w:pPr>
        <w:pStyle w:val="Heading3"/>
      </w:pPr>
      <w:r w:rsidRPr="00610B6C">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1B2193">
        <w:t>In the framework of the Europe</w:t>
      </w:r>
      <w:r w:rsidR="00276DA6">
        <w:t xml:space="preserve"> 2020 Strategy it means </w:t>
      </w:r>
      <w:r w:rsidR="006D6890">
        <w:t>focus on competitiveness, resource efficiency, climate change and biodiversity</w:t>
      </w:r>
      <w:r w:rsidR="00276DA6">
        <w:t>.</w:t>
      </w:r>
    </w:p>
    <w:p w:rsidR="005A5FC4" w:rsidRDefault="00A204F1" w:rsidP="00A204F1">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20320</wp:posOffset>
            </wp:positionV>
            <wp:extent cx="5273675" cy="2912745"/>
            <wp:effectExtent l="19050" t="0" r="3175" b="0"/>
            <wp:wrapTight wrapText="bothSides">
              <wp:wrapPolygon edited="0">
                <wp:start x="-78" y="0"/>
                <wp:lineTo x="-78" y="21473"/>
                <wp:lineTo x="21613" y="21473"/>
                <wp:lineTo x="21613" y="0"/>
                <wp:lineTo x="-78" y="0"/>
              </wp:wrapPolygon>
            </wp:wrapTight>
            <wp:docPr id="9" name="Bild 2" descr="P:\LU_2011_ESPON_TerrEvi_100269\03_Project development\WorkinProgress_FactSheets\Factsheets_CBC_neu\TL_CBC4\France_Manche_Eng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France_Manche_England 2.png"/>
                    <pic:cNvPicPr>
                      <a:picLocks noChangeAspect="1" noChangeArrowheads="1"/>
                    </pic:cNvPicPr>
                  </pic:nvPicPr>
                  <pic:blipFill>
                    <a:blip r:embed="rId18" cstate="print"/>
                    <a:srcRect/>
                    <a:stretch>
                      <a:fillRect/>
                    </a:stretch>
                  </pic:blipFill>
                  <pic:spPr bwMode="auto">
                    <a:xfrm>
                      <a:off x="0" y="0"/>
                      <a:ext cx="5273675" cy="2912745"/>
                    </a:xfrm>
                    <a:prstGeom prst="rect">
                      <a:avLst/>
                    </a:prstGeom>
                    <a:noFill/>
                    <a:ln w="9525">
                      <a:noFill/>
                      <a:miter lim="800000"/>
                      <a:headEnd/>
                      <a:tailEnd/>
                    </a:ln>
                  </pic:spPr>
                </pic:pic>
              </a:graphicData>
            </a:graphic>
          </wp:anchor>
        </w:drawing>
      </w:r>
      <w:r w:rsidR="00610B6C" w:rsidRPr="00351147">
        <w:t>The use of wind energy potential could be one of the cornerstones in building a competitive low-carbon economy in the EU.</w:t>
      </w:r>
      <w:r w:rsidR="00610B6C">
        <w:t xml:space="preserve"> The CBC area of </w:t>
      </w:r>
      <w:r w:rsidR="001B2193" w:rsidRPr="002743B9">
        <w:t>France (</w:t>
      </w:r>
      <w:r w:rsidR="001B2193">
        <w:t>Manche</w:t>
      </w:r>
      <w:r w:rsidR="001B2193" w:rsidRPr="002743B9">
        <w:t>) – England</w:t>
      </w:r>
      <w:r w:rsidR="001B2193" w:rsidRPr="00E9150A">
        <w:t xml:space="preserve"> </w:t>
      </w:r>
      <w:r w:rsidR="00610B6C">
        <w:t xml:space="preserve">shows a strong potential in using this sustainable source of energy, </w:t>
      </w:r>
      <w:r w:rsidR="00192328">
        <w:t xml:space="preserve">as its median value exceeds </w:t>
      </w:r>
      <w:r w:rsidR="00610B6C">
        <w:t xml:space="preserve">that of the EU-27+4 or all CBC areas. It has to be noted that the wind energy potential of France is </w:t>
      </w:r>
      <w:r w:rsidR="007A1C54">
        <w:t>exceptionally</w:t>
      </w:r>
      <w:r w:rsidR="00610B6C">
        <w:t xml:space="preserve"> high in the European context. </w:t>
      </w:r>
      <w:r w:rsidR="007A1C54">
        <w:t xml:space="preserve">The level of ozone concentration in the CBC </w:t>
      </w:r>
      <w:r w:rsidR="00192328">
        <w:t xml:space="preserve">region </w:t>
      </w:r>
      <w:r w:rsidR="007A1C54">
        <w:t>i</w:t>
      </w:r>
      <w:r w:rsidR="00007969">
        <w:t>s lower than in the EU27+4</w:t>
      </w:r>
      <w:r w:rsidR="007A1C54">
        <w:t xml:space="preserve">, French or UK regions in general. The CBC area’s level of potential vulnerability to climate change </w:t>
      </w:r>
      <w:r w:rsidR="00CC2223">
        <w:t xml:space="preserve">is similar to the EU-27+4, </w:t>
      </w:r>
      <w:r w:rsidR="007A1C54">
        <w:t>all CBC areas, France or the United Kingdom. Disparities in the CBC area are high according to all three indicators. BOX-PLOT 2 on the combined adaptive capacity of the NUTS3 border-regions</w:t>
      </w:r>
      <w:r w:rsidR="006F45D8">
        <w:t xml:space="preserve"> reflects a similar situation, i.e. shows that t</w:t>
      </w:r>
      <w:r w:rsidR="007A1C54">
        <w:t xml:space="preserve">he level of adaptive capacity of the border-regions varies highly. While Suffolk and Norfolk have an adaptive capacity that exceeds the level of most EU-27+4 and CBC regions, </w:t>
      </w:r>
      <w:r w:rsidR="0023599E">
        <w:t xml:space="preserve">and also stand out in the national context; </w:t>
      </w:r>
      <w:r w:rsidR="002E07B5">
        <w:t xml:space="preserve">the UK region of Cornwall and Isles of Scilly have a performance that is </w:t>
      </w:r>
      <w:r w:rsidR="00192328">
        <w:t xml:space="preserve">to some extent </w:t>
      </w:r>
      <w:r w:rsidR="002E07B5">
        <w:t xml:space="preserve">weaker than the European </w:t>
      </w:r>
      <w:r w:rsidR="006F45D8">
        <w:t xml:space="preserve">(EU-27+4 and all CBC) </w:t>
      </w:r>
      <w:r w:rsidR="002E07B5">
        <w:t xml:space="preserve">medians, and </w:t>
      </w:r>
      <w:r w:rsidR="006F45D8">
        <w:t xml:space="preserve">is </w:t>
      </w:r>
      <w:r w:rsidR="002E07B5">
        <w:t>one of the weakest in the national context. In between these two extremes</w:t>
      </w:r>
      <w:r w:rsidR="00192328">
        <w:t xml:space="preserve"> </w:t>
      </w:r>
      <w:r w:rsidR="002E07B5">
        <w:t xml:space="preserve">other NUTS3 </w:t>
      </w:r>
      <w:r w:rsidR="006F45D8">
        <w:t>border-</w:t>
      </w:r>
      <w:r w:rsidR="002E07B5">
        <w:t>regions are spread more or less evenly.</w:t>
      </w:r>
    </w:p>
    <w:p w:rsidR="00041A22" w:rsidRDefault="002E07B5" w:rsidP="00380CE6">
      <w:r>
        <w:t xml:space="preserve">According to MAP 2 Directive 11 has </w:t>
      </w:r>
      <w:r w:rsidRPr="0007136A">
        <w:t>minor</w:t>
      </w:r>
      <w:r>
        <w:t xml:space="preserve"> impact in the </w:t>
      </w:r>
      <w:r w:rsidR="006F45D8">
        <w:t>South-Eastern border-regions of the UK, while it has no impact in other parts of the border-area.</w:t>
      </w:r>
      <w:r w:rsidR="00041A22">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9B2329">
        <w:rPr>
          <w:b/>
        </w:rPr>
        <w:t>France (Manche) - England</w:t>
      </w:r>
    </w:p>
    <w:p w:rsidR="00D26713" w:rsidRDefault="00D26713" w:rsidP="00D26713">
      <w:pPr>
        <w:spacing w:after="0" w:line="240" w:lineRule="auto"/>
        <w:rPr>
          <w:noProof/>
          <w:lang w:eastAsia="en-GB"/>
        </w:rPr>
      </w:pPr>
    </w:p>
    <w:p w:rsidR="00D26713" w:rsidRDefault="00F5693B" w:rsidP="00D26713">
      <w:pPr>
        <w:spacing w:after="0" w:line="240" w:lineRule="auto"/>
        <w:rPr>
          <w:noProof/>
          <w:lang w:eastAsia="en-GB"/>
        </w:rPr>
      </w:pPr>
      <w:r w:rsidRPr="00F5693B">
        <w:rPr>
          <w:noProof/>
          <w:lang w:val="de-DE" w:eastAsia="de-DE"/>
        </w:rPr>
        <w:pict>
          <v:oval id="_x0000_s1030" style="position:absolute;left:0;text-align:left;margin-left:102.55pt;margin-top:166.1pt;width:77.15pt;height:60.65pt;rotation:-1899189fd;z-index:251664896" filled="f" strokecolor="#0070c0" strokeweight="2pt"/>
        </w:pict>
      </w:r>
      <w:r w:rsidR="001F341D">
        <w:rPr>
          <w:noProof/>
          <w:lang w:val="en-US"/>
        </w:rPr>
        <w:drawing>
          <wp:inline distT="0" distB="0" distL="0" distR="0">
            <wp:extent cx="5278755" cy="5813503"/>
            <wp:effectExtent l="19050" t="0" r="0" b="0"/>
            <wp:docPr id="1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81A7C" w:rsidRDefault="00481A7C" w:rsidP="00481A7C">
      <w:pPr>
        <w:rPr>
          <w:b/>
        </w:rPr>
      </w:pPr>
      <w:r w:rsidRPr="00A12E1A">
        <w:rPr>
          <w:b/>
        </w:rPr>
        <w:lastRenderedPageBreak/>
        <w:t xml:space="preserve">BOX-PLOT 1 – Combined adaptive capacity to climate change (ESPON CLIMATE project) for the CBC </w:t>
      </w:r>
      <w:r w:rsidR="009B2329">
        <w:rPr>
          <w:b/>
        </w:rPr>
        <w:t xml:space="preserve">France (Manche) </w:t>
      </w:r>
      <w:r w:rsidR="00D47B30">
        <w:rPr>
          <w:b/>
        </w:rPr>
        <w:t>–</w:t>
      </w:r>
      <w:r w:rsidR="009B2329">
        <w:rPr>
          <w:b/>
        </w:rPr>
        <w:t xml:space="preserve"> England</w:t>
      </w:r>
    </w:p>
    <w:p w:rsidR="00D47B30" w:rsidRPr="00021CAB" w:rsidRDefault="00D47B30" w:rsidP="00D47B3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81A7C" w:rsidRDefault="00481A7C" w:rsidP="00481A7C">
      <w:pPr>
        <w:spacing w:after="0" w:line="240" w:lineRule="auto"/>
        <w:rPr>
          <w:noProof/>
          <w:lang w:eastAsia="en-GB"/>
        </w:rPr>
      </w:pPr>
      <w:r>
        <w:rPr>
          <w:noProof/>
          <w:lang w:val="en-US"/>
        </w:rPr>
        <w:drawing>
          <wp:inline distT="0" distB="0" distL="0" distR="0">
            <wp:extent cx="5278755" cy="4225542"/>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481A7C" w:rsidRPr="006F0BC4" w:rsidRDefault="00481A7C" w:rsidP="00481A7C">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81A7C" w:rsidRPr="006F0BC4" w:rsidRDefault="00481A7C" w:rsidP="00481A7C">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81A7C" w:rsidRPr="006F0BC4" w:rsidRDefault="00481A7C" w:rsidP="00481A7C">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81A7C" w:rsidRPr="006F0BC4" w:rsidRDefault="00481A7C" w:rsidP="00481A7C">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81A7C"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6F45D8">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A204F1" w:rsidRDefault="00A204F1" w:rsidP="00B135A2">
      <w:r>
        <w:rPr>
          <w:noProof/>
          <w:lang w:val="en-US"/>
        </w:rPr>
        <w:drawing>
          <wp:anchor distT="0" distB="0" distL="114300" distR="114300" simplePos="0" relativeHeight="251674112" behindDoc="1" locked="0" layoutInCell="1" allowOverlap="1">
            <wp:simplePos x="0" y="0"/>
            <wp:positionH relativeFrom="column">
              <wp:posOffset>15240</wp:posOffset>
            </wp:positionH>
            <wp:positionV relativeFrom="paragraph">
              <wp:posOffset>3175</wp:posOffset>
            </wp:positionV>
            <wp:extent cx="5273675" cy="2530475"/>
            <wp:effectExtent l="19050" t="0" r="3175" b="0"/>
            <wp:wrapTight wrapText="bothSides">
              <wp:wrapPolygon edited="0">
                <wp:start x="-78" y="0"/>
                <wp:lineTo x="-78" y="21464"/>
                <wp:lineTo x="21613" y="21464"/>
                <wp:lineTo x="21613" y="0"/>
                <wp:lineTo x="-78" y="0"/>
              </wp:wrapPolygon>
            </wp:wrapTight>
            <wp:docPr id="10" name="Bild 3" descr="P:\LU_2011_ESPON_TerrEvi_100269\03_Project development\WorkinProgress_FactSheets\Factsheets_CBC_neu\TL_CBC4\France_Manche_Eng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France_Manche_England 3.png"/>
                    <pic:cNvPicPr>
                      <a:picLocks noChangeAspect="1" noChangeArrowheads="1"/>
                    </pic:cNvPicPr>
                  </pic:nvPicPr>
                  <pic:blipFill>
                    <a:blip r:embed="rId21"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5C31E7" w:rsidRDefault="006F45D8" w:rsidP="0007136A">
      <w:pPr>
        <w:spacing w:line="240" w:lineRule="auto"/>
        <w:rPr>
          <w:noProof/>
          <w:lang w:eastAsia="en-GB"/>
        </w:rPr>
      </w:pPr>
      <w:r>
        <w:rPr>
          <w:noProof/>
          <w:lang w:eastAsia="en-GB"/>
        </w:rPr>
        <w:t xml:space="preserve">The CBC area’s employment performance varies according to the different indicators. The long-term unemployment rate is lower </w:t>
      </w:r>
      <w:r w:rsidR="00CF4649">
        <w:rPr>
          <w:noProof/>
          <w:lang w:eastAsia="en-GB"/>
        </w:rPr>
        <w:t xml:space="preserve">in the border-region </w:t>
      </w:r>
      <w:r>
        <w:rPr>
          <w:noProof/>
          <w:lang w:eastAsia="en-GB"/>
        </w:rPr>
        <w:t xml:space="preserve">than </w:t>
      </w:r>
      <w:r w:rsidR="00CF4649">
        <w:rPr>
          <w:noProof/>
          <w:lang w:eastAsia="en-GB"/>
        </w:rPr>
        <w:t>in the EU-27+4, all CBC, France and United Kingdom;</w:t>
      </w:r>
      <w:r>
        <w:rPr>
          <w:noProof/>
          <w:lang w:eastAsia="en-GB"/>
        </w:rPr>
        <w:t xml:space="preserve"> while the rate of people at risk of poverty is slightly higher than the relevant European and French medians (and slightly lower than that </w:t>
      </w:r>
      <w:r w:rsidR="00BD09B6">
        <w:rPr>
          <w:noProof/>
          <w:lang w:eastAsia="en-GB"/>
        </w:rPr>
        <w:t>in</w:t>
      </w:r>
      <w:r>
        <w:rPr>
          <w:noProof/>
          <w:lang w:eastAsia="en-GB"/>
        </w:rPr>
        <w:t xml:space="preserve"> the </w:t>
      </w:r>
      <w:r w:rsidR="00CF4649">
        <w:rPr>
          <w:noProof/>
          <w:lang w:eastAsia="en-GB"/>
        </w:rPr>
        <w:t>United</w:t>
      </w:r>
      <w:r>
        <w:rPr>
          <w:noProof/>
          <w:lang w:eastAsia="en-GB"/>
        </w:rPr>
        <w:t xml:space="preserve"> Kingdom). The share of persons aged 25-64 and 20-24 with upper secondary or tertiary education attainment is at around the same level </w:t>
      </w:r>
      <w:r w:rsidR="00BD09B6">
        <w:rPr>
          <w:noProof/>
          <w:lang w:eastAsia="en-GB"/>
        </w:rPr>
        <w:t>as the relevant European and national medians.</w:t>
      </w:r>
    </w:p>
    <w:p w:rsidR="00E240A2" w:rsidRDefault="005C31E7" w:rsidP="0007136A">
      <w:pPr>
        <w:spacing w:line="240" w:lineRule="auto"/>
        <w:rPr>
          <w:noProof/>
          <w:lang w:eastAsia="en-GB"/>
        </w:rPr>
      </w:pPr>
      <w:r>
        <w:rPr>
          <w:noProof/>
          <w:lang w:eastAsia="en-GB"/>
        </w:rPr>
        <w:t xml:space="preserve">There are high variations in the employment rates of the NUTS3 border-regions. While Dorset (United Kingdom) has a </w:t>
      </w:r>
      <w:r w:rsidR="00CF4649">
        <w:rPr>
          <w:noProof/>
          <w:lang w:eastAsia="en-GB"/>
        </w:rPr>
        <w:t xml:space="preserve">considerably </w:t>
      </w:r>
      <w:r>
        <w:rPr>
          <w:noProof/>
          <w:lang w:eastAsia="en-GB"/>
        </w:rPr>
        <w:t xml:space="preserve">higher employment rate than the EU-27+4 and all CBC </w:t>
      </w:r>
      <w:r w:rsidR="00CF4649">
        <w:rPr>
          <w:noProof/>
          <w:lang w:eastAsia="en-GB"/>
        </w:rPr>
        <w:t xml:space="preserve">areas’ </w:t>
      </w:r>
      <w:r>
        <w:rPr>
          <w:noProof/>
          <w:lang w:eastAsia="en-GB"/>
        </w:rPr>
        <w:t xml:space="preserve">medians, </w:t>
      </w:r>
      <w:r w:rsidR="00EE3978">
        <w:rPr>
          <w:noProof/>
          <w:lang w:eastAsia="en-GB"/>
        </w:rPr>
        <w:t>and this rate</w:t>
      </w:r>
      <w:r>
        <w:rPr>
          <w:noProof/>
          <w:lang w:eastAsia="en-GB"/>
        </w:rPr>
        <w:t xml:space="preserve"> is exceptionally high in the national context; the NUTS3 border-region of Somme (France) is among the weakes</w:t>
      </w:r>
      <w:r w:rsidR="00EE3978">
        <w:rPr>
          <w:noProof/>
          <w:lang w:eastAsia="en-GB"/>
        </w:rPr>
        <w:t xml:space="preserve">t regions as far as the </w:t>
      </w:r>
      <w:r>
        <w:rPr>
          <w:noProof/>
          <w:lang w:eastAsia="en-GB"/>
        </w:rPr>
        <w:t>level of employment</w:t>
      </w:r>
      <w:r w:rsidR="00EE3978">
        <w:rPr>
          <w:noProof/>
          <w:lang w:eastAsia="en-GB"/>
        </w:rPr>
        <w:t xml:space="preserve"> is concerned</w:t>
      </w:r>
      <w:r>
        <w:rPr>
          <w:noProof/>
          <w:lang w:eastAsia="en-GB"/>
        </w:rPr>
        <w:t xml:space="preserve"> in both the European and national contexts. In between these two extremes, the performance of other regions vary highly, although most of them are relatively close to the European and national median values.</w:t>
      </w:r>
    </w:p>
    <w:p w:rsidR="00660932" w:rsidRDefault="00E240A2" w:rsidP="006F45D8">
      <w:pPr>
        <w:spacing w:after="0" w:line="240" w:lineRule="auto"/>
        <w:rPr>
          <w:noProof/>
          <w:lang w:eastAsia="en-GB"/>
        </w:rPr>
      </w:pPr>
      <w:r>
        <w:rPr>
          <w:noProof/>
          <w:lang w:eastAsia="en-GB"/>
        </w:rPr>
        <w:t>All scenarios of the ESPON DEMIFER project foresee a medium to high level labour force increase on the UK side of the border. Estimations on the French side of the border vary. The ‘Growing Social Europe’ and the ‘Expanding Market Europe’ scenarios predict an increase in the labour force until 205</w:t>
      </w:r>
      <w:r w:rsidR="00660932">
        <w:rPr>
          <w:noProof/>
          <w:lang w:eastAsia="en-GB"/>
        </w:rPr>
        <w:t>0 for the French border-regions</w:t>
      </w:r>
      <w:r>
        <w:rPr>
          <w:noProof/>
          <w:lang w:eastAsia="en-GB"/>
        </w:rPr>
        <w:t>. The ‘Limited Social Europe’ and the ‘Challenged Market Europe’ scenarios</w:t>
      </w:r>
      <w:r w:rsidR="00FE0890">
        <w:rPr>
          <w:noProof/>
          <w:lang w:eastAsia="en-GB"/>
        </w:rPr>
        <w:t xml:space="preserve"> expect the labour force to decrease in the </w:t>
      </w:r>
      <w:r w:rsidR="00660932">
        <w:rPr>
          <w:noProof/>
          <w:lang w:eastAsia="en-GB"/>
        </w:rPr>
        <w:t xml:space="preserve">regions of </w:t>
      </w:r>
      <w:r w:rsidR="00660932">
        <w:t>Somme, Seine-Maritime, Calvados and Manche, and increase (to a minor to medium level) in the regions of Côtes-d'Armor,</w:t>
      </w:r>
      <w:r w:rsidR="00D83681">
        <w:t xml:space="preserve"> Finisterre and Ille-et-Vilaine</w:t>
      </w:r>
      <w:r w:rsidR="00CF4649">
        <w:t xml:space="preserve"> in the North-West</w:t>
      </w:r>
      <w:r w:rsidR="00660932">
        <w:t xml:space="preserve">. </w:t>
      </w:r>
    </w:p>
    <w:p w:rsidR="00104631" w:rsidRDefault="00104631" w:rsidP="006F45D8">
      <w:pPr>
        <w:spacing w:after="0" w:line="240" w:lineRule="auto"/>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9B2329">
        <w:rPr>
          <w:b/>
        </w:rPr>
        <w:t>France (Manche) - England</w:t>
      </w:r>
    </w:p>
    <w:p w:rsidR="0089569C" w:rsidRDefault="0089569C" w:rsidP="0089569C">
      <w:pPr>
        <w:spacing w:after="0" w:line="240" w:lineRule="auto"/>
        <w:rPr>
          <w:noProof/>
          <w:lang w:eastAsia="en-GB"/>
        </w:rPr>
      </w:pPr>
    </w:p>
    <w:p w:rsidR="0089569C" w:rsidRDefault="00F5693B" w:rsidP="0089569C">
      <w:pPr>
        <w:spacing w:after="0" w:line="240" w:lineRule="auto"/>
        <w:rPr>
          <w:noProof/>
          <w:lang w:eastAsia="en-GB"/>
        </w:rPr>
      </w:pPr>
      <w:r w:rsidRPr="00F5693B">
        <w:rPr>
          <w:noProof/>
          <w:lang w:val="de-DE" w:eastAsia="de-DE"/>
        </w:rPr>
        <w:pict>
          <v:oval id="_x0000_s1034" style="position:absolute;left:0;text-align:left;margin-left:243.6pt;margin-top:307.55pt;width:41pt;height:32.3pt;rotation:-1899189fd;z-index:251668992" filled="f" strokecolor="#0070c0" strokeweight="2pt"/>
        </w:pict>
      </w:r>
      <w:r w:rsidRPr="00F5693B">
        <w:rPr>
          <w:noProof/>
          <w:lang w:val="de-DE" w:eastAsia="de-DE"/>
        </w:rPr>
        <w:pict>
          <v:oval id="_x0000_s1033" style="position:absolute;left:0;text-align:left;margin-left:44.9pt;margin-top:307.55pt;width:41pt;height:32.3pt;rotation:-1899189fd;z-index:251667968" filled="f" strokecolor="#0070c0" strokeweight="2pt"/>
        </w:pict>
      </w:r>
      <w:r w:rsidRPr="00F5693B">
        <w:rPr>
          <w:noProof/>
          <w:lang w:val="de-DE" w:eastAsia="de-DE"/>
        </w:rPr>
        <w:pict>
          <v:oval id="_x0000_s1032" style="position:absolute;left:0;text-align:left;margin-left:243.6pt;margin-top:103pt;width:41pt;height:32.3pt;rotation:-1899189fd;z-index:251666944" filled="f" strokecolor="#0070c0" strokeweight="2pt"/>
        </w:pict>
      </w:r>
      <w:r w:rsidRPr="00F5693B">
        <w:rPr>
          <w:noProof/>
          <w:lang w:val="de-DE" w:eastAsia="de-DE"/>
        </w:rPr>
        <w:pict>
          <v:oval id="_x0000_s1031" style="position:absolute;left:0;text-align:left;margin-left:44.9pt;margin-top:102.15pt;width:41pt;height:32.3pt;rotation:-1899189fd;z-index:251665920" filled="f" strokecolor="#0070c0" strokeweight="2pt"/>
        </w:pict>
      </w:r>
      <w:r w:rsidR="00120061">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81A7C" w:rsidRDefault="00481A7C" w:rsidP="00481A7C">
      <w:pPr>
        <w:rPr>
          <w:noProof/>
          <w:lang w:eastAsia="en-GB"/>
        </w:rPr>
      </w:pPr>
      <w:r w:rsidRPr="00A12E1A">
        <w:rPr>
          <w:b/>
        </w:rPr>
        <w:lastRenderedPageBreak/>
        <w:t xml:space="preserve">BOX-PLOT 2 – Employment rate 2010 within the CBC </w:t>
      </w:r>
      <w:r w:rsidR="009B2329">
        <w:rPr>
          <w:b/>
        </w:rPr>
        <w:t>France (Manche) - England</w:t>
      </w:r>
    </w:p>
    <w:p w:rsidR="00481A7C" w:rsidRDefault="00481A7C" w:rsidP="00481A7C">
      <w:pPr>
        <w:spacing w:after="0" w:line="240" w:lineRule="auto"/>
        <w:jc w:val="left"/>
        <w:rPr>
          <w:i/>
          <w:noProof/>
          <w:lang w:eastAsia="en-GB"/>
        </w:rPr>
      </w:pPr>
      <w:r>
        <w:rPr>
          <w:i/>
          <w:noProof/>
          <w:lang w:val="en-US"/>
        </w:rPr>
        <w:drawing>
          <wp:inline distT="0" distB="0" distL="0" distR="0">
            <wp:extent cx="5278755" cy="410227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102276"/>
                    </a:xfrm>
                    <a:prstGeom prst="rect">
                      <a:avLst/>
                    </a:prstGeom>
                    <a:noFill/>
                    <a:ln w="9525">
                      <a:noFill/>
                      <a:miter lim="800000"/>
                      <a:headEnd/>
                      <a:tailEnd/>
                    </a:ln>
                  </pic:spPr>
                </pic:pic>
              </a:graphicData>
            </a:graphic>
          </wp:inline>
        </w:drawing>
      </w:r>
    </w:p>
    <w:p w:rsidR="00481A7C" w:rsidRDefault="00481A7C" w:rsidP="00481A7C">
      <w:pPr>
        <w:spacing w:after="0" w:line="240" w:lineRule="auto"/>
        <w:jc w:val="left"/>
        <w:rPr>
          <w:i/>
          <w:noProof/>
          <w:lang w:eastAsia="en-GB"/>
        </w:rPr>
      </w:pPr>
    </w:p>
    <w:p w:rsidR="00481A7C" w:rsidRPr="00383954" w:rsidRDefault="00481A7C" w:rsidP="00481A7C">
      <w:pPr>
        <w:spacing w:after="0" w:line="240" w:lineRule="auto"/>
        <w:jc w:val="left"/>
        <w:rPr>
          <w:i/>
          <w:noProof/>
          <w:lang w:eastAsia="en-GB"/>
        </w:rPr>
      </w:pPr>
      <w:r w:rsidRPr="00383954">
        <w:rPr>
          <w:i/>
          <w:noProof/>
          <w:lang w:eastAsia="en-GB"/>
        </w:rPr>
        <w:t xml:space="preserve">(see “How to read the box-plots?” on page </w:t>
      </w:r>
      <w:r w:rsidR="001B2193">
        <w:rPr>
          <w:i/>
          <w:noProof/>
          <w:lang w:eastAsia="en-GB"/>
        </w:rPr>
        <w:t>8</w:t>
      </w:r>
      <w:r w:rsidRPr="00383954">
        <w:rPr>
          <w:i/>
          <w:noProof/>
          <w:lang w:eastAsia="en-GB"/>
        </w:rPr>
        <w:t>)</w:t>
      </w:r>
    </w:p>
    <w:p w:rsidR="00481A7C" w:rsidRDefault="00481A7C" w:rsidP="00481A7C">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F92756" w:rsidRDefault="005761A6" w:rsidP="005761A6">
      <w:pPr>
        <w:pStyle w:val="Heading1"/>
      </w:pPr>
      <w:r w:rsidRPr="00F92756">
        <w:lastRenderedPageBreak/>
        <w:t xml:space="preserve">Territorial factors of interest for the programme area </w:t>
      </w:r>
    </w:p>
    <w:p w:rsidR="00F92756" w:rsidRDefault="00F92756" w:rsidP="00F92756">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92756" w:rsidRDefault="00F92756" w:rsidP="00F92756">
      <w:r>
        <w:t xml:space="preserve">In a European perspective the programme area is mainly characterised by a large variety of different types of regions, ranging from urban via intermediate regions to rural regions. Most regions in the programme area are close to a city. However, in a European perspective the area comprises also remote areas. The main urban centres in the programme area are among others </w:t>
      </w:r>
      <w:r w:rsidRPr="00F92756">
        <w:rPr>
          <w:rFonts w:cs="Verdana"/>
          <w:color w:val="000000"/>
          <w:szCs w:val="20"/>
          <w:lang w:val="en-US" w:eastAsia="de-DE"/>
        </w:rPr>
        <w:t xml:space="preserve">Southampton, </w:t>
      </w:r>
      <w:r>
        <w:t xml:space="preserve">Lille and Le Havre, which are characterised as Metropolitan European Growth Areas, as well as a wide range of small urban centres. </w:t>
      </w:r>
    </w:p>
    <w:p w:rsidR="00F92756" w:rsidRDefault="00F92756" w:rsidP="00F92756">
      <w:r>
        <w:t>Furthermore, large parts of the programme area are in close proximity to London and access to high-speed rail way offers also good connections to Paris and Brussels. Good accessibility and close proximity can be a particular advantage for secondary cities in the programme area.</w:t>
      </w:r>
    </w:p>
    <w:p w:rsidR="00F92756" w:rsidRDefault="00F92756" w:rsidP="00F92756">
      <w:r>
        <w:t xml:space="preserve">This concerns both the access to services in infrastructure. In a European perspective most parts of the programme area have above average international and multimodal accessibility, and some areas in close proximity to London have very good accessibility. There are also good opportunities for one-day business trips within the European urban network. </w:t>
      </w:r>
    </w:p>
    <w:p w:rsidR="00F92756" w:rsidRDefault="00F92756" w:rsidP="00F92756">
      <w:r>
        <w:t xml:space="preserve">Most parts of the programme area are characterised as </w:t>
      </w:r>
      <w:r w:rsidR="000665D4">
        <w:t>coastal</w:t>
      </w:r>
      <w:r>
        <w:t xml:space="preserve"> regions in a European perspective. Also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This model can be of interest </w:t>
      </w:r>
      <w:r>
        <w:t xml:space="preserve">also </w:t>
      </w:r>
      <w:r w:rsidRPr="0032010C">
        <w:t xml:space="preserve">for further developing the discussion about the challenges and opportunities in the programme area. </w:t>
      </w:r>
    </w:p>
    <w:p w:rsidR="00F92756" w:rsidRDefault="00F92756" w:rsidP="00F92756">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F92756" w:rsidRPr="005E57B9" w:rsidRDefault="00F92756" w:rsidP="00F92756">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F92756" w:rsidRDefault="00F92756" w:rsidP="00F92756">
      <w:pPr>
        <w:spacing w:after="0" w:line="240" w:lineRule="auto"/>
        <w:jc w:val="left"/>
      </w:pPr>
    </w:p>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9B2329">
        <w:rPr>
          <w:b/>
        </w:rPr>
        <w:t>France (Manche) - England</w:t>
      </w:r>
    </w:p>
    <w:p w:rsidR="0089569C" w:rsidRDefault="0089569C" w:rsidP="0089569C">
      <w:pPr>
        <w:spacing w:after="0" w:line="240" w:lineRule="auto"/>
        <w:jc w:val="left"/>
        <w:rPr>
          <w:noProof/>
          <w:lang w:eastAsia="en-GB"/>
        </w:rPr>
      </w:pPr>
    </w:p>
    <w:p w:rsidR="0089569C" w:rsidRDefault="00F5693B" w:rsidP="0089569C">
      <w:pPr>
        <w:spacing w:after="0" w:line="240" w:lineRule="auto"/>
        <w:jc w:val="left"/>
        <w:rPr>
          <w:noProof/>
          <w:lang w:eastAsia="en-GB"/>
        </w:rPr>
      </w:pPr>
      <w:r w:rsidRPr="00F5693B">
        <w:rPr>
          <w:noProof/>
          <w:lang w:val="de-DE" w:eastAsia="de-DE"/>
        </w:rPr>
        <w:pict>
          <v:oval id="_x0000_s1035" style="position:absolute;margin-left:66.9pt;margin-top:202.75pt;width:74.95pt;height:59.05pt;rotation:-1899189fd;z-index:251670016" filled="f" strokecolor="#0070c0" strokeweight="2pt"/>
        </w:pict>
      </w:r>
      <w:r w:rsidR="00275302">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BF547E" w:rsidRPr="0085195F" w:rsidRDefault="00BF547E" w:rsidP="00BF547E">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9B2329">
        <w:rPr>
          <w:b/>
        </w:rPr>
        <w:t xml:space="preserve">France (Manche) </w:t>
      </w:r>
      <w:r w:rsidR="00D47B30">
        <w:rPr>
          <w:b/>
        </w:rPr>
        <w:t>–</w:t>
      </w:r>
      <w:r w:rsidR="009B2329">
        <w:rPr>
          <w:b/>
        </w:rPr>
        <w:t xml:space="preserve"> England</w:t>
      </w:r>
    </w:p>
    <w:p w:rsidR="00D47B30" w:rsidRPr="00021CAB" w:rsidRDefault="00D47B30" w:rsidP="00D47B30">
      <w:pPr>
        <w:spacing w:after="240"/>
        <w:rPr>
          <w:i/>
        </w:rPr>
      </w:pPr>
      <w:r w:rsidRPr="00021CAB">
        <w:rPr>
          <w:i/>
        </w:rPr>
        <w:t>“Potential Accessibility Multimodal” scores accessibility of NUTS 3 regions by road, rail and air relative to the European average in an Accessibility Index.</w:t>
      </w:r>
    </w:p>
    <w:p w:rsidR="0089569C" w:rsidRDefault="00F5693B" w:rsidP="0089569C">
      <w:pPr>
        <w:spacing w:after="0" w:line="240" w:lineRule="auto"/>
        <w:jc w:val="left"/>
        <w:rPr>
          <w:noProof/>
          <w:lang w:eastAsia="en-GB"/>
        </w:rPr>
      </w:pPr>
      <w:r w:rsidRPr="00F5693B">
        <w:rPr>
          <w:noProof/>
          <w:lang w:val="de-DE" w:eastAsia="de-DE"/>
        </w:rPr>
        <w:pict>
          <v:oval id="_x0000_s1036" style="position:absolute;margin-left:64.85pt;margin-top:199.2pt;width:79.45pt;height:62.6pt;rotation:-1899189fd;z-index:251671040" filled="f" strokecolor="#0070c0" strokeweight="2pt"/>
        </w:pict>
      </w:r>
      <w:r w:rsidR="00120061">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F92756" w:rsidRDefault="005A5FC4" w:rsidP="0019394E">
      <w:pPr>
        <w:pStyle w:val="Heading1"/>
      </w:pPr>
      <w:r w:rsidRPr="00F92756">
        <w:lastRenderedPageBreak/>
        <w:t>Recommended ESPON reading</w:t>
      </w:r>
    </w:p>
    <w:p w:rsidR="00F92756" w:rsidRDefault="00F92756" w:rsidP="00F92756">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F92756" w:rsidRDefault="00F92756" w:rsidP="00F92756">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F92756" w:rsidRPr="00A0472D" w:rsidTr="00186598">
        <w:trPr>
          <w:trHeight w:val="203"/>
        </w:trPr>
        <w:tc>
          <w:tcPr>
            <w:tcW w:w="1276" w:type="dxa"/>
            <w:shd w:val="clear" w:color="auto" w:fill="auto"/>
          </w:tcPr>
          <w:p w:rsidR="00F92756" w:rsidRPr="00A0472D" w:rsidRDefault="00F92756" w:rsidP="00186598">
            <w:pPr>
              <w:spacing w:after="0" w:line="20" w:lineRule="atLeast"/>
              <w:rPr>
                <w:b/>
                <w:sz w:val="18"/>
                <w:szCs w:val="18"/>
              </w:rPr>
            </w:pPr>
            <w:r w:rsidRPr="00A0472D">
              <w:rPr>
                <w:b/>
                <w:sz w:val="18"/>
                <w:szCs w:val="18"/>
              </w:rPr>
              <w:t>ESPON study</w:t>
            </w:r>
          </w:p>
        </w:tc>
        <w:tc>
          <w:tcPr>
            <w:tcW w:w="1418" w:type="dxa"/>
            <w:shd w:val="clear" w:color="auto" w:fill="auto"/>
          </w:tcPr>
          <w:p w:rsidR="00F92756" w:rsidRPr="00A0472D" w:rsidRDefault="00F92756" w:rsidP="00186598">
            <w:pPr>
              <w:spacing w:after="0" w:line="20" w:lineRule="atLeast"/>
              <w:rPr>
                <w:b/>
                <w:sz w:val="18"/>
                <w:szCs w:val="18"/>
              </w:rPr>
            </w:pPr>
            <w:r w:rsidRPr="00A0472D">
              <w:rPr>
                <w:b/>
                <w:sz w:val="18"/>
                <w:szCs w:val="18"/>
              </w:rPr>
              <w:t>Topic</w:t>
            </w:r>
          </w:p>
        </w:tc>
        <w:tc>
          <w:tcPr>
            <w:tcW w:w="5670" w:type="dxa"/>
            <w:shd w:val="clear" w:color="auto" w:fill="auto"/>
          </w:tcPr>
          <w:p w:rsidR="00F92756" w:rsidRPr="00A0472D" w:rsidRDefault="00F92756" w:rsidP="00186598">
            <w:pPr>
              <w:spacing w:after="0" w:line="20" w:lineRule="atLeast"/>
              <w:rPr>
                <w:b/>
                <w:sz w:val="18"/>
                <w:szCs w:val="18"/>
              </w:rPr>
            </w:pPr>
            <w:r w:rsidRPr="00A0472D">
              <w:rPr>
                <w:b/>
                <w:sz w:val="18"/>
                <w:szCs w:val="18"/>
              </w:rPr>
              <w:t>Content</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F92756" w:rsidRPr="00A0472D" w:rsidRDefault="00F92756" w:rsidP="00186598">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F92756" w:rsidRPr="00A0472D" w:rsidRDefault="00F92756" w:rsidP="00186598">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F92756" w:rsidRPr="00A0472D" w:rsidRDefault="00F92756" w:rsidP="00186598">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F92756" w:rsidRPr="00A0472D" w:rsidRDefault="00F92756" w:rsidP="00186598">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F92756" w:rsidRPr="00A0472D" w:rsidRDefault="00F92756" w:rsidP="00186598">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F92756" w:rsidRPr="00A0472D" w:rsidTr="00186598">
        <w:trPr>
          <w:trHeight w:val="274"/>
        </w:trPr>
        <w:tc>
          <w:tcPr>
            <w:tcW w:w="1276" w:type="dxa"/>
            <w:tcBorders>
              <w:bottom w:val="single" w:sz="4" w:space="0" w:color="auto"/>
            </w:tcBorders>
            <w:shd w:val="clear" w:color="auto" w:fill="FFFFFF" w:themeFill="background1"/>
          </w:tcPr>
          <w:p w:rsidR="00F92756" w:rsidRPr="00A0472D" w:rsidRDefault="00F92756" w:rsidP="00186598">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F92756" w:rsidRPr="00A0472D" w:rsidRDefault="00F92756" w:rsidP="00186598">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F92756" w:rsidRPr="00A0472D" w:rsidRDefault="00F92756" w:rsidP="00186598">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F92756" w:rsidRPr="00A0472D" w:rsidTr="00186598">
        <w:trPr>
          <w:trHeight w:val="274"/>
        </w:trPr>
        <w:tc>
          <w:tcPr>
            <w:tcW w:w="1276" w:type="dxa"/>
            <w:shd w:val="clear" w:color="auto" w:fill="FFFFFF" w:themeFill="background1"/>
          </w:tcPr>
          <w:p w:rsidR="00F92756" w:rsidRPr="008152C4" w:rsidRDefault="00F92756" w:rsidP="00186598">
            <w:pPr>
              <w:spacing w:after="0" w:line="20" w:lineRule="atLeast"/>
              <w:rPr>
                <w:sz w:val="18"/>
                <w:szCs w:val="18"/>
              </w:rPr>
            </w:pPr>
            <w:r>
              <w:rPr>
                <w:sz w:val="18"/>
                <w:szCs w:val="18"/>
              </w:rPr>
              <w:t>KIT</w:t>
            </w:r>
          </w:p>
        </w:tc>
        <w:tc>
          <w:tcPr>
            <w:tcW w:w="1418" w:type="dxa"/>
            <w:shd w:val="clear" w:color="auto" w:fill="FFFFFF" w:themeFill="background1"/>
          </w:tcPr>
          <w:p w:rsidR="00F92756" w:rsidRPr="008152C4" w:rsidRDefault="00F92756" w:rsidP="00186598">
            <w:pPr>
              <w:spacing w:after="0" w:line="20" w:lineRule="atLeast"/>
              <w:rPr>
                <w:sz w:val="18"/>
                <w:szCs w:val="18"/>
              </w:rPr>
            </w:pPr>
            <w:r w:rsidRPr="008152C4">
              <w:rPr>
                <w:sz w:val="18"/>
                <w:szCs w:val="18"/>
              </w:rPr>
              <w:t>Innovation</w:t>
            </w:r>
          </w:p>
        </w:tc>
        <w:tc>
          <w:tcPr>
            <w:tcW w:w="5670" w:type="dxa"/>
            <w:shd w:val="clear" w:color="auto" w:fill="FFFFFF" w:themeFill="background1"/>
          </w:tcPr>
          <w:p w:rsidR="00F92756" w:rsidRPr="008152C4" w:rsidRDefault="00F92756" w:rsidP="00186598">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F92756" w:rsidRPr="00A0472D" w:rsidTr="00186598">
        <w:trPr>
          <w:trHeight w:val="274"/>
        </w:trPr>
        <w:tc>
          <w:tcPr>
            <w:tcW w:w="1276" w:type="dxa"/>
            <w:shd w:val="clear" w:color="auto" w:fill="FFFFFF" w:themeFill="background1"/>
          </w:tcPr>
          <w:p w:rsidR="00F92756" w:rsidRPr="00A0472D" w:rsidRDefault="00F92756" w:rsidP="00186598">
            <w:pPr>
              <w:spacing w:after="0" w:line="20" w:lineRule="atLeast"/>
              <w:rPr>
                <w:sz w:val="18"/>
                <w:szCs w:val="18"/>
              </w:rPr>
            </w:pPr>
            <w:r w:rsidRPr="008152C4">
              <w:rPr>
                <w:sz w:val="18"/>
                <w:szCs w:val="18"/>
              </w:rPr>
              <w:t>SGPTD</w:t>
            </w:r>
          </w:p>
        </w:tc>
        <w:tc>
          <w:tcPr>
            <w:tcW w:w="1418" w:type="dxa"/>
            <w:shd w:val="clear" w:color="auto" w:fill="FFFFFF" w:themeFill="background1"/>
          </w:tcPr>
          <w:p w:rsidR="00F92756" w:rsidRPr="00A0472D" w:rsidRDefault="00F92756" w:rsidP="00186598">
            <w:pPr>
              <w:spacing w:after="0" w:line="20" w:lineRule="atLeast"/>
              <w:rPr>
                <w:sz w:val="18"/>
                <w:szCs w:val="18"/>
              </w:rPr>
            </w:pPr>
            <w:r w:rsidRPr="008152C4">
              <w:rPr>
                <w:sz w:val="18"/>
                <w:szCs w:val="18"/>
              </w:rPr>
              <w:t>Growth poles</w:t>
            </w:r>
          </w:p>
        </w:tc>
        <w:tc>
          <w:tcPr>
            <w:tcW w:w="5670" w:type="dxa"/>
            <w:shd w:val="clear" w:color="auto" w:fill="FFFFFF" w:themeFill="background1"/>
          </w:tcPr>
          <w:p w:rsidR="00F92756" w:rsidRPr="00A0472D" w:rsidRDefault="00F92756" w:rsidP="00186598">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F92756" w:rsidRPr="009C2753" w:rsidTr="00186598">
        <w:trPr>
          <w:trHeight w:val="274"/>
        </w:trPr>
        <w:tc>
          <w:tcPr>
            <w:tcW w:w="1276" w:type="dxa"/>
            <w:shd w:val="clear" w:color="auto" w:fill="FFFFFF" w:themeFill="background1"/>
          </w:tcPr>
          <w:p w:rsidR="00F92756" w:rsidRPr="009C2753" w:rsidRDefault="00F92756" w:rsidP="00186598">
            <w:pPr>
              <w:spacing w:after="0" w:line="20" w:lineRule="atLeast"/>
              <w:rPr>
                <w:sz w:val="18"/>
                <w:szCs w:val="18"/>
              </w:rPr>
            </w:pPr>
            <w:r w:rsidRPr="009C2753">
              <w:rPr>
                <w:sz w:val="18"/>
                <w:szCs w:val="18"/>
              </w:rPr>
              <w:t>ATTREG</w:t>
            </w:r>
          </w:p>
        </w:tc>
        <w:tc>
          <w:tcPr>
            <w:tcW w:w="1418" w:type="dxa"/>
            <w:shd w:val="clear" w:color="auto" w:fill="FFFFFF" w:themeFill="background1"/>
          </w:tcPr>
          <w:p w:rsidR="00F92756" w:rsidRPr="009C2753" w:rsidRDefault="00F92756" w:rsidP="00186598">
            <w:pPr>
              <w:spacing w:after="0" w:line="20" w:lineRule="atLeast"/>
              <w:rPr>
                <w:sz w:val="18"/>
                <w:szCs w:val="18"/>
              </w:rPr>
            </w:pPr>
            <w:r w:rsidRPr="009C2753">
              <w:rPr>
                <w:sz w:val="18"/>
                <w:szCs w:val="18"/>
              </w:rPr>
              <w:t>Attractive-ness</w:t>
            </w:r>
          </w:p>
        </w:tc>
        <w:tc>
          <w:tcPr>
            <w:tcW w:w="5670" w:type="dxa"/>
            <w:shd w:val="clear" w:color="auto" w:fill="FFFFFF" w:themeFill="background1"/>
          </w:tcPr>
          <w:p w:rsidR="00F92756" w:rsidRPr="009C2753" w:rsidRDefault="00F92756" w:rsidP="00186598">
            <w:pPr>
              <w:spacing w:after="0" w:line="20" w:lineRule="atLeast"/>
              <w:rPr>
                <w:sz w:val="18"/>
                <w:szCs w:val="18"/>
              </w:rPr>
            </w:pPr>
            <w:r w:rsidRPr="009C2753">
              <w:rPr>
                <w:sz w:val="18"/>
                <w:szCs w:val="18"/>
              </w:rPr>
              <w:t xml:space="preserve">The project provides a better understanding of the contribution of European regions and cities to economic performance. The Annex 4 describes the case studies of Cornwall and the Isle of Scilly. </w:t>
            </w:r>
          </w:p>
        </w:tc>
      </w:tr>
    </w:tbl>
    <w:p w:rsidR="00F92756" w:rsidRDefault="00F92756" w:rsidP="00F92756">
      <w:pPr>
        <w:spacing w:before="240"/>
      </w:pPr>
      <w:r>
        <w:t>Furthermore, some of overall ESPON products of particular interest for territorial cooperation are:</w:t>
      </w:r>
    </w:p>
    <w:p w:rsidR="00F92756" w:rsidRDefault="00F92756" w:rsidP="00F92756">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F92756" w:rsidRDefault="00F92756" w:rsidP="00F92756">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F92756" w:rsidRPr="00A33083" w:rsidRDefault="00F92756" w:rsidP="00F92756">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F92756" w:rsidRDefault="00F92756" w:rsidP="00F92756">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F92756" w:rsidRPr="00CD642B" w:rsidRDefault="00F92756" w:rsidP="00F92756">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F92756" w:rsidRDefault="00F92756" w:rsidP="00F92756">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F92756" w:rsidRPr="003E2CCE" w:rsidRDefault="00F92756" w:rsidP="00F92756">
      <w:pPr>
        <w:jc w:val="center"/>
      </w:pPr>
      <w:r w:rsidRPr="00CD642B">
        <w:t>All ESPON reports and tools are freely available at</w:t>
      </w:r>
      <w:r>
        <w:br/>
      </w:r>
      <w:r w:rsidRPr="00CD642B">
        <w:rPr>
          <w:b/>
        </w:rPr>
        <w:t>www.espon.eu</w:t>
      </w:r>
    </w:p>
    <w:p w:rsidR="005A5FC4" w:rsidRDefault="005A5FC4" w:rsidP="005A5FC4"/>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F5693B" w:rsidRPr="00F5693B">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192328" w:rsidRPr="00FB783A" w:rsidRDefault="0019232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597" w:rsidRDefault="00606597">
      <w:r>
        <w:separator/>
      </w:r>
    </w:p>
  </w:endnote>
  <w:endnote w:type="continuationSeparator" w:id="0">
    <w:p w:rsidR="00606597" w:rsidRDefault="006065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328" w:rsidRDefault="00F5693B" w:rsidP="00BC65E1">
    <w:pPr>
      <w:framePr w:wrap="around" w:vAnchor="text" w:hAnchor="margin" w:xAlign="right" w:y="1"/>
      <w:rPr>
        <w:rStyle w:val="PageNumber"/>
      </w:rPr>
    </w:pPr>
    <w:r>
      <w:rPr>
        <w:rStyle w:val="PageNumber"/>
      </w:rPr>
      <w:fldChar w:fldCharType="begin"/>
    </w:r>
    <w:r w:rsidR="00192328">
      <w:rPr>
        <w:rStyle w:val="PageNumber"/>
      </w:rPr>
      <w:instrText xml:space="preserve">PAGE  </w:instrText>
    </w:r>
    <w:r>
      <w:rPr>
        <w:rStyle w:val="PageNumber"/>
      </w:rPr>
      <w:fldChar w:fldCharType="separate"/>
    </w:r>
    <w:r w:rsidR="00192328">
      <w:rPr>
        <w:rStyle w:val="PageNumber"/>
        <w:noProof/>
      </w:rPr>
      <w:t>3</w:t>
    </w:r>
    <w:r>
      <w:rPr>
        <w:rStyle w:val="PageNumber"/>
      </w:rPr>
      <w:fldChar w:fldCharType="end"/>
    </w:r>
  </w:p>
  <w:p w:rsidR="00192328" w:rsidRDefault="0019232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328" w:rsidRPr="00A15B61" w:rsidRDefault="00F5693B" w:rsidP="00BC65E1">
    <w:pPr>
      <w:pStyle w:val="Footer"/>
      <w:framePr w:wrap="around" w:vAnchor="text" w:hAnchor="margin" w:xAlign="right" w:y="1"/>
      <w:rPr>
        <w:rStyle w:val="PageNumber"/>
      </w:rPr>
    </w:pPr>
    <w:r w:rsidRPr="00A15B61">
      <w:rPr>
        <w:rStyle w:val="PageNumber"/>
        <w:szCs w:val="20"/>
      </w:rPr>
      <w:fldChar w:fldCharType="begin"/>
    </w:r>
    <w:r w:rsidR="00192328">
      <w:rPr>
        <w:rStyle w:val="PageNumber"/>
        <w:szCs w:val="20"/>
      </w:rPr>
      <w:instrText>PAGE</w:instrText>
    </w:r>
    <w:r w:rsidR="00192328" w:rsidRPr="00A15B61">
      <w:rPr>
        <w:rStyle w:val="PageNumber"/>
        <w:szCs w:val="20"/>
      </w:rPr>
      <w:instrText xml:space="preserve">  </w:instrText>
    </w:r>
    <w:r w:rsidRPr="00A15B61">
      <w:rPr>
        <w:rStyle w:val="PageNumber"/>
        <w:szCs w:val="20"/>
      </w:rPr>
      <w:fldChar w:fldCharType="separate"/>
    </w:r>
    <w:r w:rsidR="00BF547E">
      <w:rPr>
        <w:rStyle w:val="PageNumber"/>
        <w:noProof/>
        <w:szCs w:val="20"/>
      </w:rPr>
      <w:t>1</w:t>
    </w:r>
    <w:r w:rsidRPr="00A15B61">
      <w:rPr>
        <w:rStyle w:val="PageNumber"/>
        <w:szCs w:val="20"/>
      </w:rPr>
      <w:fldChar w:fldCharType="end"/>
    </w:r>
  </w:p>
  <w:p w:rsidR="00192328" w:rsidRPr="00A15B61" w:rsidRDefault="0019232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328" w:rsidRPr="00A15B61" w:rsidRDefault="00F5693B" w:rsidP="00BC65E1">
    <w:pPr>
      <w:pStyle w:val="Footer"/>
      <w:framePr w:wrap="around" w:vAnchor="text" w:hAnchor="margin" w:xAlign="right" w:y="1"/>
      <w:rPr>
        <w:rStyle w:val="PageNumber"/>
      </w:rPr>
    </w:pPr>
    <w:r w:rsidRPr="00A15B61">
      <w:rPr>
        <w:rStyle w:val="PageNumber"/>
        <w:szCs w:val="20"/>
      </w:rPr>
      <w:fldChar w:fldCharType="begin"/>
    </w:r>
    <w:r w:rsidR="00192328">
      <w:rPr>
        <w:rStyle w:val="PageNumber"/>
        <w:szCs w:val="20"/>
      </w:rPr>
      <w:instrText>PAGE</w:instrText>
    </w:r>
    <w:r w:rsidR="00192328" w:rsidRPr="00A15B61">
      <w:rPr>
        <w:rStyle w:val="PageNumber"/>
        <w:szCs w:val="20"/>
      </w:rPr>
      <w:instrText xml:space="preserve">  </w:instrText>
    </w:r>
    <w:r w:rsidRPr="00A15B61">
      <w:rPr>
        <w:rStyle w:val="PageNumber"/>
        <w:szCs w:val="20"/>
      </w:rPr>
      <w:fldChar w:fldCharType="separate"/>
    </w:r>
    <w:r w:rsidR="00BF547E">
      <w:rPr>
        <w:rStyle w:val="PageNumber"/>
        <w:noProof/>
        <w:szCs w:val="20"/>
      </w:rPr>
      <w:t>16</w:t>
    </w:r>
    <w:r w:rsidRPr="00A15B61">
      <w:rPr>
        <w:rStyle w:val="PageNumber"/>
        <w:szCs w:val="20"/>
      </w:rPr>
      <w:fldChar w:fldCharType="end"/>
    </w:r>
  </w:p>
  <w:p w:rsidR="00192328" w:rsidRPr="00A15B61" w:rsidRDefault="0019232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597" w:rsidRDefault="00606597">
      <w:r>
        <w:separator/>
      </w:r>
    </w:p>
  </w:footnote>
  <w:footnote w:type="continuationSeparator" w:id="0">
    <w:p w:rsidR="00606597" w:rsidRDefault="006065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328" w:rsidRDefault="00F5693B">
    <w:pPr>
      <w:pStyle w:val="Header"/>
    </w:pPr>
    <w:r w:rsidRPr="00F5693B">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192328" w:rsidRDefault="00192328"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192328" w:rsidRPr="00721B03" w:rsidRDefault="0019232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19232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328" w:rsidRDefault="001923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EAFC6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07969"/>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665D4"/>
    <w:rsid w:val="0007136A"/>
    <w:rsid w:val="00072557"/>
    <w:rsid w:val="00073957"/>
    <w:rsid w:val="00073BFF"/>
    <w:rsid w:val="00076136"/>
    <w:rsid w:val="00077C32"/>
    <w:rsid w:val="000812A6"/>
    <w:rsid w:val="00083607"/>
    <w:rsid w:val="00085BAD"/>
    <w:rsid w:val="00086387"/>
    <w:rsid w:val="000A0B9B"/>
    <w:rsid w:val="000A0F69"/>
    <w:rsid w:val="000A3D00"/>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0061"/>
    <w:rsid w:val="0012533B"/>
    <w:rsid w:val="001260F4"/>
    <w:rsid w:val="00126FC2"/>
    <w:rsid w:val="00127104"/>
    <w:rsid w:val="00132FDD"/>
    <w:rsid w:val="00133602"/>
    <w:rsid w:val="00134DC7"/>
    <w:rsid w:val="0013600B"/>
    <w:rsid w:val="00142D2A"/>
    <w:rsid w:val="0014624C"/>
    <w:rsid w:val="00147567"/>
    <w:rsid w:val="001507D7"/>
    <w:rsid w:val="00150A5A"/>
    <w:rsid w:val="00150FCB"/>
    <w:rsid w:val="00151954"/>
    <w:rsid w:val="00152974"/>
    <w:rsid w:val="00153108"/>
    <w:rsid w:val="00154CEF"/>
    <w:rsid w:val="0015691A"/>
    <w:rsid w:val="00157B13"/>
    <w:rsid w:val="00162FF6"/>
    <w:rsid w:val="0016435C"/>
    <w:rsid w:val="00172B99"/>
    <w:rsid w:val="001768B3"/>
    <w:rsid w:val="00177F91"/>
    <w:rsid w:val="00180D67"/>
    <w:rsid w:val="00182673"/>
    <w:rsid w:val="001838FE"/>
    <w:rsid w:val="00184B93"/>
    <w:rsid w:val="001907DA"/>
    <w:rsid w:val="00191F3D"/>
    <w:rsid w:val="00192328"/>
    <w:rsid w:val="001929F2"/>
    <w:rsid w:val="0019394E"/>
    <w:rsid w:val="00193F6F"/>
    <w:rsid w:val="001A0A8D"/>
    <w:rsid w:val="001A2043"/>
    <w:rsid w:val="001A30F4"/>
    <w:rsid w:val="001A42AD"/>
    <w:rsid w:val="001A7669"/>
    <w:rsid w:val="001B0526"/>
    <w:rsid w:val="001B13B6"/>
    <w:rsid w:val="001B2193"/>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E5F58"/>
    <w:rsid w:val="001F0A8E"/>
    <w:rsid w:val="001F236D"/>
    <w:rsid w:val="001F341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28FE"/>
    <w:rsid w:val="00233454"/>
    <w:rsid w:val="0023599E"/>
    <w:rsid w:val="002371D8"/>
    <w:rsid w:val="00253237"/>
    <w:rsid w:val="0025373C"/>
    <w:rsid w:val="00254ADD"/>
    <w:rsid w:val="002605E0"/>
    <w:rsid w:val="0026077F"/>
    <w:rsid w:val="00264534"/>
    <w:rsid w:val="002645BF"/>
    <w:rsid w:val="00265996"/>
    <w:rsid w:val="00275302"/>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07B5"/>
    <w:rsid w:val="002E20E5"/>
    <w:rsid w:val="002E3D45"/>
    <w:rsid w:val="002E529A"/>
    <w:rsid w:val="002E619E"/>
    <w:rsid w:val="002F1D75"/>
    <w:rsid w:val="002F4B38"/>
    <w:rsid w:val="002F713F"/>
    <w:rsid w:val="00303201"/>
    <w:rsid w:val="00303833"/>
    <w:rsid w:val="00304555"/>
    <w:rsid w:val="00304A46"/>
    <w:rsid w:val="003052B2"/>
    <w:rsid w:val="0030699A"/>
    <w:rsid w:val="00307418"/>
    <w:rsid w:val="00322B33"/>
    <w:rsid w:val="003253E2"/>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0CE6"/>
    <w:rsid w:val="00383954"/>
    <w:rsid w:val="00384F28"/>
    <w:rsid w:val="003860B2"/>
    <w:rsid w:val="00391559"/>
    <w:rsid w:val="00391CD5"/>
    <w:rsid w:val="00392914"/>
    <w:rsid w:val="0039373B"/>
    <w:rsid w:val="00396D72"/>
    <w:rsid w:val="00397A28"/>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1A7C"/>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0E7"/>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B7879"/>
    <w:rsid w:val="005C108D"/>
    <w:rsid w:val="005C31E7"/>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6597"/>
    <w:rsid w:val="00610091"/>
    <w:rsid w:val="00610B6C"/>
    <w:rsid w:val="00610DAB"/>
    <w:rsid w:val="0061660C"/>
    <w:rsid w:val="00616DE9"/>
    <w:rsid w:val="0061757F"/>
    <w:rsid w:val="00621499"/>
    <w:rsid w:val="00632676"/>
    <w:rsid w:val="006326AB"/>
    <w:rsid w:val="00633FE2"/>
    <w:rsid w:val="00643649"/>
    <w:rsid w:val="006441ED"/>
    <w:rsid w:val="00645CD2"/>
    <w:rsid w:val="0065085F"/>
    <w:rsid w:val="00654361"/>
    <w:rsid w:val="0065695B"/>
    <w:rsid w:val="00657472"/>
    <w:rsid w:val="00657E48"/>
    <w:rsid w:val="00660932"/>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6EF2"/>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5D8"/>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2713C"/>
    <w:rsid w:val="00732C90"/>
    <w:rsid w:val="007370BC"/>
    <w:rsid w:val="007375D5"/>
    <w:rsid w:val="007423B2"/>
    <w:rsid w:val="007456E2"/>
    <w:rsid w:val="00747707"/>
    <w:rsid w:val="00761029"/>
    <w:rsid w:val="0076148F"/>
    <w:rsid w:val="007656EC"/>
    <w:rsid w:val="00770B59"/>
    <w:rsid w:val="00771843"/>
    <w:rsid w:val="00773271"/>
    <w:rsid w:val="0077695D"/>
    <w:rsid w:val="00777785"/>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1C54"/>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13F27"/>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87175"/>
    <w:rsid w:val="00891455"/>
    <w:rsid w:val="0089569C"/>
    <w:rsid w:val="00895E5B"/>
    <w:rsid w:val="00896802"/>
    <w:rsid w:val="008A3B96"/>
    <w:rsid w:val="008A63DF"/>
    <w:rsid w:val="008A68FF"/>
    <w:rsid w:val="008B1002"/>
    <w:rsid w:val="008B2C0A"/>
    <w:rsid w:val="008B582B"/>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0138"/>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329"/>
    <w:rsid w:val="009B2BE6"/>
    <w:rsid w:val="009B4050"/>
    <w:rsid w:val="009B592C"/>
    <w:rsid w:val="009B6B07"/>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53CB"/>
    <w:rsid w:val="009F7417"/>
    <w:rsid w:val="009F77A8"/>
    <w:rsid w:val="00A02FD6"/>
    <w:rsid w:val="00A04262"/>
    <w:rsid w:val="00A0472D"/>
    <w:rsid w:val="00A06AEA"/>
    <w:rsid w:val="00A11AFC"/>
    <w:rsid w:val="00A12916"/>
    <w:rsid w:val="00A13B39"/>
    <w:rsid w:val="00A13E7F"/>
    <w:rsid w:val="00A14BAC"/>
    <w:rsid w:val="00A15B61"/>
    <w:rsid w:val="00A16062"/>
    <w:rsid w:val="00A204F1"/>
    <w:rsid w:val="00A2166F"/>
    <w:rsid w:val="00A24B55"/>
    <w:rsid w:val="00A265BE"/>
    <w:rsid w:val="00A274CC"/>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91FBB"/>
    <w:rsid w:val="00A93662"/>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DEE"/>
    <w:rsid w:val="00AD5E29"/>
    <w:rsid w:val="00AD6766"/>
    <w:rsid w:val="00AE0A26"/>
    <w:rsid w:val="00AE62D3"/>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09B6"/>
    <w:rsid w:val="00BE0557"/>
    <w:rsid w:val="00BE188E"/>
    <w:rsid w:val="00BE223D"/>
    <w:rsid w:val="00BE4274"/>
    <w:rsid w:val="00BE6599"/>
    <w:rsid w:val="00BF378B"/>
    <w:rsid w:val="00BF390C"/>
    <w:rsid w:val="00BF3C62"/>
    <w:rsid w:val="00BF547E"/>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1AE3"/>
    <w:rsid w:val="00C63E1E"/>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2223"/>
    <w:rsid w:val="00CC6723"/>
    <w:rsid w:val="00CC7EC5"/>
    <w:rsid w:val="00CD45BE"/>
    <w:rsid w:val="00CD5112"/>
    <w:rsid w:val="00CD642B"/>
    <w:rsid w:val="00CD6A77"/>
    <w:rsid w:val="00CD6FEB"/>
    <w:rsid w:val="00CE4087"/>
    <w:rsid w:val="00CE61D3"/>
    <w:rsid w:val="00CE67DD"/>
    <w:rsid w:val="00CF4649"/>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15FAE"/>
    <w:rsid w:val="00D205A6"/>
    <w:rsid w:val="00D20C17"/>
    <w:rsid w:val="00D20C8C"/>
    <w:rsid w:val="00D21D29"/>
    <w:rsid w:val="00D26713"/>
    <w:rsid w:val="00D318F2"/>
    <w:rsid w:val="00D32EA8"/>
    <w:rsid w:val="00D401D5"/>
    <w:rsid w:val="00D41605"/>
    <w:rsid w:val="00D42ABD"/>
    <w:rsid w:val="00D42E31"/>
    <w:rsid w:val="00D42EB6"/>
    <w:rsid w:val="00D44FB6"/>
    <w:rsid w:val="00D47B30"/>
    <w:rsid w:val="00D47BAC"/>
    <w:rsid w:val="00D510B6"/>
    <w:rsid w:val="00D515B8"/>
    <w:rsid w:val="00D51F83"/>
    <w:rsid w:val="00D52B90"/>
    <w:rsid w:val="00D52DB1"/>
    <w:rsid w:val="00D54869"/>
    <w:rsid w:val="00D67AFE"/>
    <w:rsid w:val="00D72C5E"/>
    <w:rsid w:val="00D72FC3"/>
    <w:rsid w:val="00D74BD3"/>
    <w:rsid w:val="00D77200"/>
    <w:rsid w:val="00D81724"/>
    <w:rsid w:val="00D8210F"/>
    <w:rsid w:val="00D83681"/>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D7916"/>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30FE"/>
    <w:rsid w:val="00E240A2"/>
    <w:rsid w:val="00E27072"/>
    <w:rsid w:val="00E3055C"/>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12E8"/>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E3978"/>
    <w:rsid w:val="00EF11A3"/>
    <w:rsid w:val="00EF6DEE"/>
    <w:rsid w:val="00F023B8"/>
    <w:rsid w:val="00F10068"/>
    <w:rsid w:val="00F11BC6"/>
    <w:rsid w:val="00F11DC3"/>
    <w:rsid w:val="00F158C5"/>
    <w:rsid w:val="00F20E21"/>
    <w:rsid w:val="00F212C3"/>
    <w:rsid w:val="00F252AD"/>
    <w:rsid w:val="00F320EF"/>
    <w:rsid w:val="00F3218A"/>
    <w:rsid w:val="00F34787"/>
    <w:rsid w:val="00F358CB"/>
    <w:rsid w:val="00F405D2"/>
    <w:rsid w:val="00F45305"/>
    <w:rsid w:val="00F47743"/>
    <w:rsid w:val="00F519FB"/>
    <w:rsid w:val="00F54E2D"/>
    <w:rsid w:val="00F5693B"/>
    <w:rsid w:val="00F57119"/>
    <w:rsid w:val="00F60CB5"/>
    <w:rsid w:val="00F70635"/>
    <w:rsid w:val="00F738B9"/>
    <w:rsid w:val="00F74241"/>
    <w:rsid w:val="00F77867"/>
    <w:rsid w:val="00F77A11"/>
    <w:rsid w:val="00F77AD1"/>
    <w:rsid w:val="00F804D1"/>
    <w:rsid w:val="00F81275"/>
    <w:rsid w:val="00F8766A"/>
    <w:rsid w:val="00F92391"/>
    <w:rsid w:val="00F92756"/>
    <w:rsid w:val="00FA0267"/>
    <w:rsid w:val="00FA1FBB"/>
    <w:rsid w:val="00FB3AD9"/>
    <w:rsid w:val="00FC08B7"/>
    <w:rsid w:val="00FC2270"/>
    <w:rsid w:val="00FC5035"/>
    <w:rsid w:val="00FC5AE6"/>
    <w:rsid w:val="00FC6A8F"/>
    <w:rsid w:val="00FD413B"/>
    <w:rsid w:val="00FD4E3A"/>
    <w:rsid w:val="00FD54FE"/>
    <w:rsid w:val="00FD6260"/>
    <w:rsid w:val="00FD70D0"/>
    <w:rsid w:val="00FE089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31005443">
      <w:bodyDiv w:val="1"/>
      <w:marLeft w:val="0"/>
      <w:marRight w:val="0"/>
      <w:marTop w:val="0"/>
      <w:marBottom w:val="0"/>
      <w:divBdr>
        <w:top w:val="none" w:sz="0" w:space="0" w:color="auto"/>
        <w:left w:val="none" w:sz="0" w:space="0" w:color="auto"/>
        <w:bottom w:val="none" w:sz="0" w:space="0" w:color="auto"/>
        <w:right w:val="none" w:sz="0" w:space="0" w:color="auto"/>
      </w:divBdr>
    </w:div>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887641479">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437945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26987EEF-D994-430C-B6C1-241A9FDE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2995</Words>
  <Characters>17077</Characters>
  <Application>Microsoft Office Word</Application>
  <DocSecurity>0</DocSecurity>
  <Lines>142</Lines>
  <Paragraphs>40</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20032</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17</cp:revision>
  <cp:lastPrinted>2012-11-13T20:47:00Z</cp:lastPrinted>
  <dcterms:created xsi:type="dcterms:W3CDTF">2012-11-20T10:22:00Z</dcterms:created>
  <dcterms:modified xsi:type="dcterms:W3CDTF">2012-11-27T11:38:00Z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