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A971C3" w:rsidRPr="009B434E" w:rsidRDefault="00A971C3" w:rsidP="00FE4706">
      <w:pPr>
        <w:spacing w:line="240" w:lineRule="auto"/>
        <w:ind w:left="-851"/>
        <w:jc w:val="center"/>
        <w:rPr>
          <w:rFonts w:ascii="Arial" w:hAnsi="Arial" w:cs="Arial"/>
          <w:sz w:val="40"/>
          <w:szCs w:val="40"/>
          <w:lang w:val="en-US"/>
        </w:rPr>
      </w:pPr>
      <w:r w:rsidRPr="009B434E">
        <w:rPr>
          <w:rFonts w:ascii="Arial" w:hAnsi="Arial" w:cs="Arial"/>
          <w:sz w:val="40"/>
          <w:szCs w:val="40"/>
          <w:lang w:val="en-US"/>
        </w:rPr>
        <w:t>Espace Caraïbes</w:t>
      </w:r>
    </w:p>
    <w:p w:rsidR="005070C8" w:rsidRDefault="00FE4706"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905375" cy="4752975"/>
            <wp:effectExtent l="1905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05375" cy="4752975"/>
                    </a:xfrm>
                    <a:prstGeom prst="rect">
                      <a:avLst/>
                    </a:prstGeom>
                    <a:noFill/>
                    <a:ln w="9525">
                      <a:noFill/>
                      <a:miter lim="800000"/>
                      <a:headEnd/>
                      <a:tailEnd/>
                    </a:ln>
                  </pic:spPr>
                </pic:pic>
              </a:graphicData>
            </a:graphic>
          </wp:inline>
        </w:drawing>
      </w:r>
    </w:p>
    <w:p w:rsidR="009B434E" w:rsidRDefault="009B434E" w:rsidP="009B434E">
      <w:pPr>
        <w:spacing w:after="0" w:line="240" w:lineRule="auto"/>
        <w:ind w:left="-851"/>
        <w:jc w:val="center"/>
        <w:rPr>
          <w:rFonts w:ascii="Arial" w:hAnsi="Arial" w:cs="Arial"/>
          <w:sz w:val="32"/>
          <w:szCs w:val="32"/>
          <w:lang w:val="en-US"/>
        </w:rPr>
      </w:pPr>
    </w:p>
    <w:p w:rsidR="009B434E" w:rsidRDefault="009B434E" w:rsidP="009B434E">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9B434E" w:rsidRDefault="009B434E" w:rsidP="009B434E">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E67C66" w:rsidRPr="0085195F" w:rsidRDefault="000A647A" w:rsidP="00E67C66">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E67C66" w:rsidRPr="0085195F">
        <w:t>This is intended as an electronic publication so map quality is generally high to allow users to zoom into specific territories.</w:t>
      </w:r>
    </w:p>
    <w:p w:rsidR="000A647A" w:rsidRDefault="00E67C66" w:rsidP="00E67C66">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3B5124" w:rsidRDefault="003B5124" w:rsidP="003B5124">
      <w:r>
        <w:t>In the following the traffic light for each indicator represents how your programme territory compares to wider European and national medians where green = your programme area performs better for that indicator, yel</w:t>
      </w:r>
      <w:r w:rsidR="00E67C66">
        <w:t>low = similar, and red = worse.</w:t>
      </w:r>
    </w:p>
    <w:p w:rsidR="00990C32" w:rsidRDefault="00990C32" w:rsidP="00990C32">
      <w:r>
        <w:t>In creating the traffic</w:t>
      </w:r>
      <w:r w:rsidR="00087C5A">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966083" w:rsidRPr="00973E76" w:rsidRDefault="00966083" w:rsidP="00966083">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5C79FD">
        <w:t>Smart growth</w:t>
      </w:r>
      <w:r w:rsidRPr="00337872">
        <w:t xml:space="preserve"> </w:t>
      </w:r>
    </w:p>
    <w:p w:rsidR="00A971C3" w:rsidRDefault="00A971C3" w:rsidP="00A971C3">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A971C3" w:rsidRDefault="00A971C3" w:rsidP="00A971C3">
      <w:r>
        <w:rPr>
          <w:noProof/>
          <w:lang w:val="en-US"/>
        </w:rPr>
        <w:lastRenderedPageBreak/>
        <w:drawing>
          <wp:anchor distT="0" distB="0" distL="114300" distR="114300" simplePos="0" relativeHeight="251672064" behindDoc="0" locked="0" layoutInCell="1" allowOverlap="1">
            <wp:simplePos x="0" y="0"/>
            <wp:positionH relativeFrom="column">
              <wp:posOffset>-268605</wp:posOffset>
            </wp:positionH>
            <wp:positionV relativeFrom="paragraph">
              <wp:posOffset>128905</wp:posOffset>
            </wp:positionV>
            <wp:extent cx="5869305" cy="3554730"/>
            <wp:effectExtent l="1905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69305" cy="3554730"/>
                    </a:xfrm>
                    <a:prstGeom prst="rect">
                      <a:avLst/>
                    </a:prstGeom>
                    <a:noFill/>
                    <a:ln w="9525">
                      <a:noFill/>
                      <a:miter lim="800000"/>
                      <a:headEnd/>
                      <a:tailEnd/>
                    </a:ln>
                  </pic:spPr>
                </pic:pic>
              </a:graphicData>
            </a:graphic>
          </wp:anchor>
        </w:drawing>
      </w:r>
    </w:p>
    <w:p w:rsidR="00A971C3" w:rsidRPr="00B92990" w:rsidRDefault="00A971C3" w:rsidP="00A971C3">
      <w:pPr>
        <w:spacing w:before="120"/>
      </w:pPr>
      <w:r w:rsidRPr="00B92990">
        <w:t>Considering the ob</w:t>
      </w:r>
      <w:r>
        <w:t>jective of R&amp;D expenditure of  percentage</w:t>
      </w:r>
      <w:r w:rsidRPr="00B92990">
        <w:t xml:space="preserve"> of the GDP - one of the five headline targets in the Europe 2020 Strategy - the CBC area is </w:t>
      </w:r>
      <w:r w:rsidRPr="00832566">
        <w:t>still in a better position than</w:t>
      </w:r>
      <w:r>
        <w:t xml:space="preserve"> </w:t>
      </w:r>
      <w:r w:rsidRPr="00B92990">
        <w:t>the EU27+4 space</w:t>
      </w:r>
      <w:r>
        <w:t>,</w:t>
      </w:r>
      <w:r w:rsidRPr="00B92990">
        <w:t xml:space="preserve"> all CBC</w:t>
      </w:r>
      <w:r>
        <w:t xml:space="preserve"> areas and France</w:t>
      </w:r>
      <w:r w:rsidRPr="00B92990">
        <w:t xml:space="preserve">. </w:t>
      </w:r>
    </w:p>
    <w:p w:rsidR="00A971C3" w:rsidRDefault="00A971C3" w:rsidP="00A971C3">
      <w:pPr>
        <w:autoSpaceDE w:val="0"/>
        <w:autoSpaceDN w:val="0"/>
        <w:adjustRightInd w:val="0"/>
        <w:spacing w:after="0" w:line="240" w:lineRule="auto"/>
        <w:rPr>
          <w:rFonts w:cs="Verdana"/>
          <w:szCs w:val="20"/>
          <w:lang w:eastAsia="de-DE"/>
        </w:rPr>
      </w:pPr>
      <w:r w:rsidRPr="00B92990">
        <w:t xml:space="preserve">In terms of the percentage of individuals regularly using internet in 2011, the CBC area </w:t>
      </w:r>
      <w:r w:rsidRPr="00832566">
        <w:t>has lower values than the EU27+4 space, all CBCs</w:t>
      </w:r>
      <w:r>
        <w:t xml:space="preserve"> and France. According to</w:t>
      </w:r>
      <w:r w:rsidRPr="00B92990">
        <w:t xml:space="preserve"> the </w:t>
      </w:r>
      <w:r>
        <w:t>classification o</w:t>
      </w:r>
      <w:r w:rsidRPr="00B92990">
        <w:t xml:space="preserve">f the KIT project, </w:t>
      </w:r>
      <w:r>
        <w:t xml:space="preserve">MAP 1 defines a part of the CBC as </w:t>
      </w:r>
      <w:r w:rsidRPr="00237750">
        <w:rPr>
          <w:rFonts w:cstheme="minorHAnsi"/>
          <w:szCs w:val="20"/>
        </w:rPr>
        <w:t xml:space="preserve">‘Imitative innovation area’. It is </w:t>
      </w:r>
      <w:r>
        <w:rPr>
          <w:rFonts w:cstheme="minorHAnsi"/>
          <w:szCs w:val="20"/>
        </w:rPr>
        <w:t>associated to</w:t>
      </w:r>
      <w:r w:rsidRPr="00237750">
        <w:rPr>
          <w:rFonts w:cstheme="minorHAnsi"/>
          <w:szCs w:val="20"/>
        </w:rPr>
        <w:t xml:space="preserve"> </w:t>
      </w:r>
      <w:r w:rsidRPr="00237750">
        <w:rPr>
          <w:rFonts w:cs="Verdana"/>
          <w:szCs w:val="20"/>
          <w:lang w:eastAsia="de-DE"/>
        </w:rPr>
        <w:t>a low knowledge and innovation intensity, entrepreneurship, creativity, a high attractiveness and high innovation potentials</w:t>
      </w:r>
      <w:r>
        <w:rPr>
          <w:rFonts w:cs="Verdana"/>
          <w:szCs w:val="20"/>
          <w:lang w:eastAsia="de-DE"/>
        </w:rPr>
        <w:t>.</w:t>
      </w:r>
    </w:p>
    <w:p w:rsidR="00A971C3" w:rsidRDefault="00A971C3" w:rsidP="00A971C3"/>
    <w:p w:rsidR="00A971C3" w:rsidRDefault="00A971C3" w:rsidP="00DA5466">
      <w:pPr>
        <w:spacing w:after="0"/>
        <w:rPr>
          <w:b/>
        </w:rPr>
      </w:pPr>
      <w:r w:rsidRPr="004E39BD">
        <w:rPr>
          <w:b/>
        </w:rPr>
        <w:t>MAP</w:t>
      </w:r>
      <w:r>
        <w:rPr>
          <w:b/>
        </w:rPr>
        <w:t xml:space="preserve"> 1</w:t>
      </w:r>
      <w:r w:rsidRPr="004E39BD">
        <w:rPr>
          <w:b/>
        </w:rPr>
        <w:t xml:space="preserve"> – Territorial Patterns of Innovation (ESPON KIT project)</w:t>
      </w:r>
      <w:r>
        <w:rPr>
          <w:b/>
        </w:rPr>
        <w:t xml:space="preserve"> for the CBC </w:t>
      </w:r>
      <w:r w:rsidR="00DA5466" w:rsidRPr="00DA5466">
        <w:rPr>
          <w:b/>
        </w:rPr>
        <w:t>Espace Caraïbes</w:t>
      </w:r>
    </w:p>
    <w:p w:rsidR="00DA5466" w:rsidRPr="00DA5466" w:rsidRDefault="00DA5466" w:rsidP="00A971C3">
      <w:pPr>
        <w:rPr>
          <w:sz w:val="16"/>
          <w:szCs w:val="16"/>
          <w:lang w:val="en-US"/>
        </w:rPr>
      </w:pPr>
    </w:p>
    <w:p w:rsidR="00A971C3" w:rsidRDefault="00452F61" w:rsidP="00A971C3">
      <w:pPr>
        <w:spacing w:after="0" w:line="240" w:lineRule="auto"/>
      </w:pPr>
      <w:r>
        <w:rPr>
          <w:noProof/>
          <w:lang w:val="en-US"/>
        </w:rPr>
        <w:lastRenderedPageBreak/>
        <w:drawing>
          <wp:inline distT="0" distB="0" distL="0" distR="0">
            <wp:extent cx="5278755" cy="6284584"/>
            <wp:effectExtent l="19050" t="0" r="0" b="0"/>
            <wp:docPr id="8" name="Bild 1"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MAP1.png"/>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A971C3" w:rsidRDefault="00A971C3" w:rsidP="00A971C3"/>
    <w:p w:rsidR="004F26B8" w:rsidRDefault="004F26B8">
      <w:pPr>
        <w:spacing w:after="0" w:line="240" w:lineRule="auto"/>
        <w:jc w:val="left"/>
      </w:pPr>
      <w:r>
        <w:br w:type="page"/>
      </w:r>
    </w:p>
    <w:p w:rsidR="004F26B8" w:rsidRDefault="004F26B8" w:rsidP="004F26B8">
      <w:pPr>
        <w:pStyle w:val="Heading3"/>
      </w:pPr>
      <w:r w:rsidRPr="00F542FD">
        <w:lastRenderedPageBreak/>
        <w:t>Sustainable growth</w:t>
      </w:r>
      <w:r w:rsidR="00F542FD">
        <w:rPr>
          <w:rStyle w:val="FootnoteReference"/>
        </w:rPr>
        <w:footnoteReference w:id="1"/>
      </w:r>
      <w:r w:rsidRPr="00337872">
        <w:t xml:space="preserve"> </w:t>
      </w:r>
    </w:p>
    <w:p w:rsidR="00F542FD" w:rsidRDefault="004F26B8" w:rsidP="00F542FD">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4A232E">
        <w:t>In the framework of the Europe</w:t>
      </w:r>
      <w:r w:rsidR="00276DA6">
        <w:t xml:space="preserve"> 2020 Strategy it means </w:t>
      </w:r>
      <w:r w:rsidR="006D6890">
        <w:t>focus on competitiveness, resource efficiency, climate change and biodiversity</w:t>
      </w:r>
      <w:r w:rsidR="00276DA6">
        <w:t>.</w:t>
      </w:r>
    </w:p>
    <w:p w:rsidR="008C11D3" w:rsidRDefault="008C11D3" w:rsidP="008C11D3">
      <w:pPr>
        <w:spacing w:after="0" w:line="240" w:lineRule="auto"/>
        <w:jc w:val="left"/>
      </w:pPr>
      <w:r>
        <w:t>There is no data on whether Directive11 on fossil fuel consumption has any impact on the Espace Caraibes area (Map 2).</w:t>
      </w:r>
    </w:p>
    <w:p w:rsidR="008C11D3" w:rsidRDefault="008C11D3" w:rsidP="008C11D3">
      <w:pPr>
        <w:spacing w:after="0" w:line="240" w:lineRule="auto"/>
        <w:jc w:val="left"/>
      </w:pPr>
    </w:p>
    <w:p w:rsidR="008C11D3" w:rsidRDefault="008C11D3" w:rsidP="008C11D3">
      <w:pPr>
        <w:spacing w:after="0" w:line="240" w:lineRule="auto"/>
        <w:jc w:val="left"/>
      </w:pPr>
      <w:r>
        <w:t>Box-Plot 1 shows the c</w:t>
      </w:r>
      <w:r w:rsidRPr="002A7AD1">
        <w:t xml:space="preserve">ombined adaptive capacity to climate change (ESPON CLIMATE project) for the CBC </w:t>
      </w:r>
      <w:r>
        <w:t>Espace Caraibes</w:t>
      </w:r>
      <w:r w:rsidRPr="002A7AD1">
        <w:t xml:space="preserve">. </w:t>
      </w:r>
      <w:r>
        <w:t>Guadeloupe</w:t>
      </w:r>
      <w:r w:rsidR="00694452">
        <w:t>,</w:t>
      </w:r>
      <w:r>
        <w:t xml:space="preserve"> Martinique and </w:t>
      </w:r>
      <w:r w:rsidRPr="002A7AD1">
        <w:t xml:space="preserve">Guyane </w:t>
      </w:r>
      <w:r>
        <w:t>are</w:t>
      </w:r>
      <w:r w:rsidRPr="002A7AD1">
        <w:t xml:space="preserve"> rated below average compared to other </w:t>
      </w:r>
      <w:r>
        <w:t xml:space="preserve">NUTS 3 </w:t>
      </w:r>
      <w:r w:rsidRPr="002A7AD1">
        <w:t xml:space="preserve">regions in the EU27+4, all CBC areas and France with regards to its capacity to adapt to climate change. </w:t>
      </w:r>
    </w:p>
    <w:p w:rsidR="00F542FD" w:rsidRDefault="00F542FD">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DA5466" w:rsidRPr="00DA5466">
        <w:rPr>
          <w:b/>
        </w:rPr>
        <w:t>Espace Caraïbes</w:t>
      </w:r>
    </w:p>
    <w:p w:rsidR="00D26713" w:rsidRDefault="00D26713" w:rsidP="00D26713">
      <w:pPr>
        <w:spacing w:after="0" w:line="240" w:lineRule="auto"/>
        <w:rPr>
          <w:noProof/>
          <w:lang w:eastAsia="en-GB"/>
        </w:rPr>
      </w:pPr>
    </w:p>
    <w:p w:rsidR="00D26713" w:rsidRDefault="00452F61" w:rsidP="00D26713">
      <w:pPr>
        <w:spacing w:after="0" w:line="240" w:lineRule="auto"/>
        <w:rPr>
          <w:noProof/>
          <w:lang w:eastAsia="en-GB"/>
        </w:rPr>
      </w:pPr>
      <w:r>
        <w:rPr>
          <w:noProof/>
          <w:lang w:val="en-US"/>
        </w:rPr>
        <w:drawing>
          <wp:inline distT="0" distB="0" distL="0" distR="0">
            <wp:extent cx="5278755" cy="5813503"/>
            <wp:effectExtent l="19050" t="0" r="0" b="0"/>
            <wp:docPr id="9" name="Bild 2"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2.jpg"/>
                    <pic:cNvPicPr>
                      <a:picLocks noChangeAspect="1" noChangeArrowheads="1"/>
                    </pic:cNvPicPr>
                  </pic:nvPicPr>
                  <pic:blipFill>
                    <a:blip r:embed="rId17"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437A6F" w:rsidRDefault="00437A6F" w:rsidP="00437A6F">
      <w:pPr>
        <w:rPr>
          <w:b/>
        </w:rPr>
      </w:pPr>
      <w:r w:rsidRPr="002C4B76">
        <w:rPr>
          <w:b/>
        </w:rPr>
        <w:lastRenderedPageBreak/>
        <w:t xml:space="preserve">BOX-PLOT 1 – Combined adaptive capacity to climate change (ESPON CLIMATE project) for the CBC </w:t>
      </w:r>
      <w:r w:rsidR="00DA5466" w:rsidRPr="002C4B76">
        <w:rPr>
          <w:b/>
        </w:rPr>
        <w:t>Espace Caraïbes</w:t>
      </w:r>
    </w:p>
    <w:p w:rsidR="00966083" w:rsidRPr="00021CAB" w:rsidRDefault="00966083" w:rsidP="00966083">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437A6F" w:rsidRDefault="002C4B76" w:rsidP="00437A6F">
      <w:pPr>
        <w:spacing w:after="0" w:line="240" w:lineRule="auto"/>
        <w:rPr>
          <w:noProof/>
          <w:lang w:eastAsia="en-GB"/>
        </w:rPr>
      </w:pPr>
      <w:r>
        <w:rPr>
          <w:noProof/>
          <w:lang w:val="en-US"/>
        </w:rPr>
        <w:drawing>
          <wp:inline distT="0" distB="0" distL="0" distR="0">
            <wp:extent cx="5278755" cy="4224356"/>
            <wp:effectExtent l="19050" t="0" r="0" b="0"/>
            <wp:docPr id="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437A6F" w:rsidRPr="006F0BC4" w:rsidRDefault="00437A6F" w:rsidP="00437A6F">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Pr="00437A6F" w:rsidRDefault="002371D8" w:rsidP="006E618B">
      <w:pPr>
        <w:spacing w:after="0" w:line="240" w:lineRule="auto"/>
        <w:rPr>
          <w:noProof/>
          <w:lang w:val="en-US"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691926">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8C11D3" w:rsidP="00B135A2">
      <w:r>
        <w:t>Looking at the inclusive growth indicators in the traffic lights graph above, data is only available for the indicator of long-term unemployment. The Espace Caraibes has a much higher median rate of long-term unemployment than the EU27+4, the CBC areas and France. In fact, the median value of the CBC area is 17.3% compared to around 3% in the areas of comparison</w:t>
      </w:r>
      <w:r w:rsidR="00F542FD">
        <w:rPr>
          <w:noProof/>
          <w:lang w:val="en-US"/>
        </w:rPr>
        <w:drawing>
          <wp:anchor distT="0" distB="0" distL="114300" distR="114300" simplePos="0" relativeHeight="251673088" behindDoc="1" locked="0" layoutInCell="1" allowOverlap="1">
            <wp:simplePos x="0" y="0"/>
            <wp:positionH relativeFrom="column">
              <wp:posOffset>-741680</wp:posOffset>
            </wp:positionH>
            <wp:positionV relativeFrom="paragraph">
              <wp:posOffset>21590</wp:posOffset>
            </wp:positionV>
            <wp:extent cx="6753225" cy="3827145"/>
            <wp:effectExtent l="19050" t="0" r="9525" b="0"/>
            <wp:wrapTight wrapText="bothSides">
              <wp:wrapPolygon edited="0">
                <wp:start x="-61" y="0"/>
                <wp:lineTo x="-61" y="21503"/>
                <wp:lineTo x="21630" y="21503"/>
                <wp:lineTo x="21630" y="0"/>
                <wp:lineTo x="-61" y="0"/>
              </wp:wrapPolygon>
            </wp:wrapTight>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6753225" cy="3827145"/>
                    </a:xfrm>
                    <a:prstGeom prst="rect">
                      <a:avLst/>
                    </a:prstGeom>
                    <a:noFill/>
                    <a:ln w="9525">
                      <a:noFill/>
                      <a:miter lim="800000"/>
                      <a:headEnd/>
                      <a:tailEnd/>
                    </a:ln>
                  </pic:spPr>
                </pic:pic>
              </a:graphicData>
            </a:graphic>
          </wp:anchor>
        </w:drawing>
      </w:r>
      <w:r>
        <w:t>.</w:t>
      </w:r>
    </w:p>
    <w:p w:rsidR="008C11D3" w:rsidRDefault="008C11D3" w:rsidP="008C11D3">
      <w:r>
        <w:t xml:space="preserve">There is no data for the CBC area Espace Caraibes and hence no possibility to compare the area with the EU27+4, all CBC areas or France in terms of its at-risk-of-poverty rate or the of </w:t>
      </w:r>
      <w:r>
        <w:rPr>
          <w:noProof/>
          <w:lang w:eastAsia="en-GB"/>
        </w:rPr>
        <w:t>percentage of persons aged 25-64 and 20-24 with upper secondary or tertiary education attainment,</w:t>
      </w:r>
    </w:p>
    <w:p w:rsidR="008C11D3" w:rsidRDefault="008C11D3" w:rsidP="008C11D3">
      <w:pPr>
        <w:rPr>
          <w:noProof/>
          <w:lang w:eastAsia="en-GB"/>
        </w:rPr>
      </w:pPr>
      <w:r>
        <w:rPr>
          <w:noProof/>
          <w:lang w:eastAsia="en-GB"/>
        </w:rPr>
        <w:t xml:space="preserve">For all the possible scenarios on the change in labour force until 2050 drawn in the ESPON DEMIFER project (Map 3), the outcome is always positive for the Caraibes CBC area, for all – Guyane, Martinique and Guadeloupe. </w:t>
      </w:r>
    </w:p>
    <w:p w:rsidR="008C11D3" w:rsidRDefault="008C11D3" w:rsidP="008C11D3">
      <w:r w:rsidRPr="008C11D3">
        <w:t>This can also be seen in Box-Plot 2 which shows the employment rate of the regions included within the area. Guyane, Martinique and Guadeloupe are placed much below the average of all areas of comparison in terms of their rate of employment and even outstrip the ranges of employment rates of the regions.</w:t>
      </w:r>
    </w:p>
    <w:p w:rsidR="00104631" w:rsidRDefault="00104631">
      <w:pPr>
        <w:spacing w:after="0" w:line="240" w:lineRule="auto"/>
        <w:jc w:val="left"/>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DA5466" w:rsidRPr="00DA5466">
        <w:rPr>
          <w:b/>
        </w:rPr>
        <w:t>Espace Caraïbes</w:t>
      </w:r>
    </w:p>
    <w:p w:rsidR="0089569C" w:rsidRDefault="0089569C" w:rsidP="0089569C">
      <w:pPr>
        <w:spacing w:after="0" w:line="240" w:lineRule="auto"/>
        <w:rPr>
          <w:noProof/>
          <w:lang w:eastAsia="en-GB"/>
        </w:rPr>
      </w:pPr>
    </w:p>
    <w:p w:rsidR="0089569C" w:rsidRDefault="002B6FA1" w:rsidP="0089569C">
      <w:pPr>
        <w:spacing w:after="0" w:line="240" w:lineRule="auto"/>
        <w:rPr>
          <w:noProof/>
          <w:lang w:eastAsia="en-GB"/>
        </w:rPr>
      </w:pPr>
      <w:r>
        <w:rPr>
          <w:noProof/>
          <w:lang w:val="en-US"/>
        </w:rPr>
        <w:drawing>
          <wp:inline distT="0" distB="0" distL="0" distR="0">
            <wp:extent cx="5278755" cy="6911340"/>
            <wp:effectExtent l="19050" t="0" r="0" b="0"/>
            <wp:docPr id="7" name="Grafik 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0"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437A6F" w:rsidRPr="00C33A99" w:rsidRDefault="00437A6F" w:rsidP="00437A6F">
      <w:pPr>
        <w:rPr>
          <w:b/>
        </w:rPr>
      </w:pPr>
      <w:r w:rsidRPr="002C4B76">
        <w:rPr>
          <w:b/>
        </w:rPr>
        <w:lastRenderedPageBreak/>
        <w:t xml:space="preserve">BOX-PLOT 2 – Employment rate 2010 within the CBC </w:t>
      </w:r>
      <w:r w:rsidR="00DA5466" w:rsidRPr="002C4B76">
        <w:rPr>
          <w:b/>
        </w:rPr>
        <w:t>Espace Caraïbes</w:t>
      </w:r>
    </w:p>
    <w:p w:rsidR="00437A6F" w:rsidRDefault="002C4B76" w:rsidP="00437A6F">
      <w:pPr>
        <w:spacing w:after="0" w:line="240" w:lineRule="auto"/>
        <w:jc w:val="left"/>
        <w:rPr>
          <w:noProof/>
          <w:lang w:eastAsia="en-GB"/>
        </w:rPr>
      </w:pPr>
      <w:r>
        <w:rPr>
          <w:noProof/>
          <w:lang w:val="en-US"/>
        </w:rPr>
        <w:drawing>
          <wp:inline distT="0" distB="0" distL="0" distR="0">
            <wp:extent cx="5278755" cy="4224356"/>
            <wp:effectExtent l="19050" t="0" r="0" b="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437A6F" w:rsidRDefault="00437A6F" w:rsidP="00437A6F">
      <w:pPr>
        <w:spacing w:after="0" w:line="240" w:lineRule="auto"/>
        <w:jc w:val="left"/>
        <w:rPr>
          <w:noProof/>
          <w:lang w:eastAsia="en-GB"/>
        </w:rPr>
      </w:pPr>
    </w:p>
    <w:p w:rsidR="00437A6F" w:rsidRDefault="00437A6F" w:rsidP="00437A6F">
      <w:pPr>
        <w:spacing w:after="0" w:line="240" w:lineRule="auto"/>
        <w:jc w:val="left"/>
        <w:rPr>
          <w:noProof/>
          <w:lang w:eastAsia="en-GB"/>
        </w:rPr>
      </w:pPr>
    </w:p>
    <w:p w:rsidR="00437A6F" w:rsidRPr="00383954" w:rsidRDefault="00437A6F" w:rsidP="00437A6F">
      <w:pPr>
        <w:spacing w:after="0" w:line="240" w:lineRule="auto"/>
        <w:jc w:val="left"/>
        <w:rPr>
          <w:i/>
          <w:noProof/>
          <w:lang w:eastAsia="en-GB"/>
        </w:rPr>
      </w:pPr>
      <w:r w:rsidRPr="00383954">
        <w:rPr>
          <w:i/>
          <w:noProof/>
          <w:lang w:eastAsia="en-GB"/>
        </w:rPr>
        <w:t>(see “How to read the box-plots?” on page 7)</w:t>
      </w:r>
    </w:p>
    <w:p w:rsidR="00437A6F" w:rsidRDefault="00437A6F" w:rsidP="00437A6F">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FE2C1C" w:rsidRPr="00FE2C1C" w:rsidRDefault="006F49F1" w:rsidP="00FE2C1C">
      <w:pPr>
        <w:pStyle w:val="Heading1"/>
      </w:pPr>
      <w:r>
        <w:rPr>
          <w:noProof/>
          <w:lang w:eastAsia="en-GB"/>
        </w:rPr>
        <w:br w:type="page"/>
      </w:r>
      <w:r w:rsidR="005761A6" w:rsidRPr="00FE2C1C">
        <w:lastRenderedPageBreak/>
        <w:t xml:space="preserve">Territorial factors of interest for the programme area </w:t>
      </w:r>
    </w:p>
    <w:p w:rsidR="00FE2C1C" w:rsidRDefault="00FE2C1C" w:rsidP="00FE2C1C">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FE2C1C" w:rsidRDefault="00FE2C1C" w:rsidP="00FE2C1C">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FE2C1C" w:rsidRDefault="00FE2C1C" w:rsidP="00FE2C1C">
      <w:r>
        <w:t>However many ESPON maps and data sets are only of partial interest for outermost areas and the territorial cooperation programmes they are involved in.  The Caribbean islands</w:t>
      </w:r>
      <w:r w:rsidRPr="002301AE">
        <w:t xml:space="preserve"> are, first, remote from continental EU. </w:t>
      </w:r>
    </w:p>
    <w:p w:rsidR="00FE2C1C" w:rsidRPr="002301AE" w:rsidRDefault="00FE2C1C" w:rsidP="00FE2C1C">
      <w:r>
        <w:t xml:space="preserve">In territorial terms the programme area can be characterised by remoteness, insularity (even with double insularity), small territory, complex territorial morphology, specific climate conditions and natural risks, as well as vulnerability to climate change. </w:t>
      </w:r>
    </w:p>
    <w:p w:rsidR="00FE2C1C" w:rsidRPr="002301AE" w:rsidRDefault="00FE2C1C" w:rsidP="00FE2C1C">
      <w:r>
        <w:t>As the ESPON GEOSPECS report points out, i</w:t>
      </w:r>
      <w:r w:rsidRPr="002301AE">
        <w:t>nsularity can be considered as another dimension in remoteness. It</w:t>
      </w:r>
      <w:r>
        <w:t xml:space="preserve"> </w:t>
      </w:r>
      <w:r w:rsidRPr="002301AE">
        <w:t>necessarily brings accessibility and transportation issues, and various types of constraints as regards resources (e.g., energy water generation</w:t>
      </w:r>
      <w:r>
        <w:t xml:space="preserve"> </w:t>
      </w:r>
      <w:r w:rsidRPr="002301AE">
        <w:t>and storage/use, waste management). Double insularity makes these</w:t>
      </w:r>
      <w:r>
        <w:t xml:space="preserve"> </w:t>
      </w:r>
      <w:r w:rsidRPr="002301AE">
        <w:t>issues even more acute, and creates additional ones: internal accessibility</w:t>
      </w:r>
      <w:r>
        <w:t xml:space="preserve"> </w:t>
      </w:r>
      <w:r w:rsidRPr="002301AE">
        <w:t>issues must be addressed (by boat or air, which is more expensive); it is</w:t>
      </w:r>
      <w:r>
        <w:t xml:space="preserve"> </w:t>
      </w:r>
      <w:r w:rsidRPr="002301AE">
        <w:t>often necessary to duplicate infrastructures (e.g., for health or education);</w:t>
      </w:r>
      <w:r>
        <w:t xml:space="preserve"> </w:t>
      </w:r>
      <w:r w:rsidRPr="002301AE">
        <w:t>and it is also expensive to maintain several small structures. What is true</w:t>
      </w:r>
      <w:r>
        <w:t xml:space="preserve"> </w:t>
      </w:r>
      <w:r w:rsidRPr="002301AE">
        <w:t>for public infrastructures is equally true for private ones, and represents a</w:t>
      </w:r>
      <w:r>
        <w:t xml:space="preserve"> </w:t>
      </w:r>
      <w:r w:rsidRPr="002301AE">
        <w:t>burden for the development of economic activities (notably industrial</w:t>
      </w:r>
      <w:r>
        <w:t xml:space="preserve"> </w:t>
      </w:r>
      <w:r w:rsidRPr="002301AE">
        <w:t>activities).</w:t>
      </w:r>
    </w:p>
    <w:p w:rsidR="00FE2C1C" w:rsidRDefault="00FE2C1C" w:rsidP="00FE2C1C">
      <w:r>
        <w:t xml:space="preserve">ESPON GEOSPECS has developed a nexus model for outermost regions linking defining features via intermediary process to development challenges and opportunities (see figure below). </w:t>
      </w:r>
      <w:r w:rsidR="00760488" w:rsidRPr="0032010C">
        <w:t xml:space="preserve">This model can be of interest for further developing the discussion about the challenges and opportunities in the programme area. </w:t>
      </w:r>
      <w:r>
        <w:t xml:space="preserve"> </w:t>
      </w:r>
    </w:p>
    <w:p w:rsidR="00FE2C1C" w:rsidRDefault="00FE2C1C" w:rsidP="00FE2C1C">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SCIENTIFIC REPORT, PAGE 104:</w:t>
      </w:r>
      <w:r>
        <w:rPr>
          <w:rFonts w:cs="Calibri"/>
          <w:sz w:val="18"/>
          <w:szCs w:val="20"/>
          <w:lang w:eastAsia="fr-FR"/>
        </w:rPr>
        <w:br/>
        <w:t>Nexus model for outermost regions</w:t>
      </w:r>
    </w:p>
    <w:p w:rsidR="00FE2C1C" w:rsidRDefault="00FE2C1C" w:rsidP="00FE2C1C">
      <w:pPr>
        <w:shd w:val="clear" w:color="auto" w:fill="F2F2F2" w:themeFill="background1" w:themeFillShade="F2"/>
        <w:spacing w:line="240" w:lineRule="auto"/>
        <w:jc w:val="center"/>
        <w:rPr>
          <w:rFonts w:cs="Calibri"/>
          <w:sz w:val="18"/>
          <w:szCs w:val="20"/>
          <w:lang w:eastAsia="fr-FR"/>
        </w:rPr>
      </w:pPr>
      <w:r>
        <w:rPr>
          <w:noProof/>
          <w:lang w:val="en-US"/>
        </w:rPr>
        <w:drawing>
          <wp:inline distT="0" distB="0" distL="0" distR="0">
            <wp:extent cx="5010091" cy="2426335"/>
            <wp:effectExtent l="2540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012491" cy="2427497"/>
                    </a:xfrm>
                    <a:prstGeom prst="rect">
                      <a:avLst/>
                    </a:prstGeom>
                    <a:noFill/>
                    <a:ln w="9525">
                      <a:noFill/>
                      <a:miter lim="800000"/>
                      <a:headEnd/>
                      <a:tailEnd/>
                    </a:ln>
                  </pic:spPr>
                </pic:pic>
              </a:graphicData>
            </a:graphic>
          </wp:inline>
        </w:drawing>
      </w:r>
    </w:p>
    <w:p w:rsidR="00FE2C1C" w:rsidRDefault="00FE2C1C" w:rsidP="00FE2C1C">
      <w:pPr>
        <w:shd w:val="clear" w:color="auto" w:fill="F2F2F2" w:themeFill="background1" w:themeFillShade="F2"/>
        <w:spacing w:line="240" w:lineRule="auto"/>
        <w:jc w:val="center"/>
        <w:rPr>
          <w:rFonts w:cs="Calibri"/>
          <w:sz w:val="18"/>
          <w:szCs w:val="20"/>
          <w:lang w:eastAsia="fr-FR"/>
        </w:rPr>
      </w:pPr>
    </w:p>
    <w:p w:rsidR="00A078A0" w:rsidRPr="00FE2C1C" w:rsidRDefault="00A078A0" w:rsidP="00FE2C1C">
      <w:pPr>
        <w:rPr>
          <w:highlight w:val="yellow"/>
        </w:rPr>
      </w:pPr>
    </w:p>
    <w:p w:rsidR="005A5FC4" w:rsidRPr="00C33A99" w:rsidRDefault="0019394E" w:rsidP="005A5FC4">
      <w:pPr>
        <w:rPr>
          <w:b/>
        </w:rPr>
      </w:pPr>
      <w:r w:rsidRPr="0019394E">
        <w:rPr>
          <w:b/>
          <w:noProof/>
          <w:lang w:eastAsia="en-GB"/>
        </w:rPr>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DA5466" w:rsidRPr="00DA5466">
        <w:rPr>
          <w:b/>
        </w:rPr>
        <w:t>Espace Caraïbes</w:t>
      </w:r>
    </w:p>
    <w:p w:rsidR="0089569C" w:rsidRDefault="0089569C" w:rsidP="0089569C">
      <w:pPr>
        <w:spacing w:after="0" w:line="240" w:lineRule="auto"/>
        <w:jc w:val="left"/>
        <w:rPr>
          <w:noProof/>
          <w:lang w:eastAsia="en-GB"/>
        </w:rPr>
      </w:pPr>
    </w:p>
    <w:p w:rsidR="0089569C" w:rsidRDefault="002E7BA4" w:rsidP="0089569C">
      <w:pPr>
        <w:spacing w:after="0" w:line="240" w:lineRule="auto"/>
        <w:jc w:val="left"/>
        <w:rPr>
          <w:noProof/>
          <w:lang w:eastAsia="en-GB"/>
        </w:rPr>
      </w:pPr>
      <w:r>
        <w:rPr>
          <w:noProof/>
          <w:lang w:val="en-US"/>
        </w:rPr>
        <w:drawing>
          <wp:inline distT="0" distB="0" distL="0" distR="0">
            <wp:extent cx="5278755" cy="721406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E67C66" w:rsidRPr="0085195F" w:rsidRDefault="00E67C66" w:rsidP="00E67C66">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DA5466" w:rsidRPr="00DA5466">
        <w:rPr>
          <w:b/>
        </w:rPr>
        <w:t>Espace Caraïbes</w:t>
      </w:r>
    </w:p>
    <w:p w:rsidR="00966083" w:rsidRPr="00021CAB" w:rsidRDefault="00966083" w:rsidP="00966083">
      <w:pPr>
        <w:spacing w:after="240"/>
        <w:rPr>
          <w:i/>
        </w:rPr>
      </w:pPr>
      <w:r w:rsidRPr="00021CAB">
        <w:rPr>
          <w:i/>
        </w:rPr>
        <w:t>“Potential Accessibility Multimodal” scores accessibility of NUTS 3 regions by road, rail and air relative to the European average in an Accessibility Index.</w:t>
      </w:r>
    </w:p>
    <w:p w:rsidR="0089569C" w:rsidRDefault="002B6FA1" w:rsidP="0089569C">
      <w:pPr>
        <w:spacing w:after="0" w:line="240" w:lineRule="auto"/>
        <w:jc w:val="left"/>
        <w:rPr>
          <w:noProof/>
          <w:lang w:eastAsia="en-GB"/>
        </w:rPr>
      </w:pPr>
      <w:r>
        <w:rPr>
          <w:noProof/>
          <w:lang w:val="en-US"/>
        </w:rPr>
        <w:drawing>
          <wp:inline distT="0" distB="0" distL="0" distR="0">
            <wp:extent cx="5278755" cy="7444105"/>
            <wp:effectExtent l="19050" t="0" r="0" b="0"/>
            <wp:docPr id="13" name="Grafik 12"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DA5466" w:rsidRDefault="005A5FC4" w:rsidP="0019394E">
      <w:pPr>
        <w:pStyle w:val="Heading1"/>
      </w:pPr>
      <w:r w:rsidRPr="00DA5466">
        <w:lastRenderedPageBreak/>
        <w:t>Recommended ESPON reading</w:t>
      </w:r>
    </w:p>
    <w:p w:rsidR="00DA5466" w:rsidRDefault="00DA5466" w:rsidP="00DA5466">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DA5466" w:rsidRDefault="00DA5466" w:rsidP="00DA5466">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DA5466" w:rsidRPr="00A0472D">
        <w:trPr>
          <w:trHeight w:val="203"/>
        </w:trPr>
        <w:tc>
          <w:tcPr>
            <w:tcW w:w="1276" w:type="dxa"/>
            <w:shd w:val="clear" w:color="auto" w:fill="auto"/>
          </w:tcPr>
          <w:p w:rsidR="00DA5466" w:rsidRPr="00A0472D" w:rsidRDefault="00DA5466" w:rsidP="001B7D5C">
            <w:pPr>
              <w:spacing w:after="0" w:line="20" w:lineRule="atLeast"/>
              <w:rPr>
                <w:b/>
                <w:sz w:val="18"/>
                <w:szCs w:val="18"/>
              </w:rPr>
            </w:pPr>
            <w:r w:rsidRPr="00A0472D">
              <w:rPr>
                <w:b/>
                <w:sz w:val="18"/>
                <w:szCs w:val="18"/>
              </w:rPr>
              <w:t>ESPON study</w:t>
            </w:r>
          </w:p>
        </w:tc>
        <w:tc>
          <w:tcPr>
            <w:tcW w:w="1418" w:type="dxa"/>
            <w:shd w:val="clear" w:color="auto" w:fill="auto"/>
          </w:tcPr>
          <w:p w:rsidR="00DA5466" w:rsidRPr="00A0472D" w:rsidRDefault="00DA5466" w:rsidP="001B7D5C">
            <w:pPr>
              <w:spacing w:after="0" w:line="20" w:lineRule="atLeast"/>
              <w:rPr>
                <w:b/>
                <w:sz w:val="18"/>
                <w:szCs w:val="18"/>
              </w:rPr>
            </w:pPr>
            <w:r w:rsidRPr="00A0472D">
              <w:rPr>
                <w:b/>
                <w:sz w:val="18"/>
                <w:szCs w:val="18"/>
              </w:rPr>
              <w:t>Topic</w:t>
            </w:r>
          </w:p>
        </w:tc>
        <w:tc>
          <w:tcPr>
            <w:tcW w:w="5670" w:type="dxa"/>
            <w:shd w:val="clear" w:color="auto" w:fill="auto"/>
          </w:tcPr>
          <w:p w:rsidR="00DA5466" w:rsidRPr="00A0472D" w:rsidRDefault="00DA5466" w:rsidP="001B7D5C">
            <w:pPr>
              <w:spacing w:after="0" w:line="20" w:lineRule="atLeast"/>
              <w:rPr>
                <w:b/>
                <w:sz w:val="18"/>
                <w:szCs w:val="18"/>
              </w:rPr>
            </w:pPr>
            <w:r w:rsidRPr="00A0472D">
              <w:rPr>
                <w:b/>
                <w:sz w:val="18"/>
                <w:szCs w:val="18"/>
              </w:rPr>
              <w:t>Content</w:t>
            </w:r>
          </w:p>
        </w:tc>
      </w:tr>
      <w:tr w:rsidR="00DA5466" w:rsidRPr="00A0472D">
        <w:trPr>
          <w:trHeight w:val="274"/>
        </w:trPr>
        <w:tc>
          <w:tcPr>
            <w:tcW w:w="1276" w:type="dxa"/>
            <w:shd w:val="clear" w:color="auto" w:fill="FFFFFF" w:themeFill="background1"/>
          </w:tcPr>
          <w:p w:rsidR="00DA5466" w:rsidRPr="00A0472D" w:rsidRDefault="00DA5466" w:rsidP="001B7D5C">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DA5466" w:rsidRPr="00A0472D" w:rsidRDefault="00DA5466" w:rsidP="001B7D5C">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DA5466" w:rsidRPr="00A0472D" w:rsidRDefault="00DA5466" w:rsidP="001B7D5C">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DA5466" w:rsidRPr="00A0472D">
        <w:trPr>
          <w:trHeight w:val="274"/>
        </w:trPr>
        <w:tc>
          <w:tcPr>
            <w:tcW w:w="1276" w:type="dxa"/>
            <w:shd w:val="clear" w:color="auto" w:fill="FFFFFF" w:themeFill="background1"/>
          </w:tcPr>
          <w:p w:rsidR="00DA5466" w:rsidRPr="00A0472D" w:rsidRDefault="00DA5466" w:rsidP="001B7D5C">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DA5466" w:rsidRPr="00A0472D" w:rsidRDefault="00DA5466" w:rsidP="001B7D5C">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DA5466" w:rsidRPr="00A0472D" w:rsidRDefault="00DA5466" w:rsidP="001B7D5C">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DA5466" w:rsidRPr="00A0472D">
        <w:trPr>
          <w:trHeight w:val="274"/>
        </w:trPr>
        <w:tc>
          <w:tcPr>
            <w:tcW w:w="1276" w:type="dxa"/>
            <w:shd w:val="clear" w:color="auto" w:fill="FFFFFF" w:themeFill="background1"/>
          </w:tcPr>
          <w:p w:rsidR="00DA5466" w:rsidRPr="00A0472D" w:rsidRDefault="00DA5466" w:rsidP="001B7D5C">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DA5466" w:rsidRPr="00A0472D" w:rsidRDefault="00DA5466" w:rsidP="001B7D5C">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DA5466" w:rsidRPr="00A0472D" w:rsidRDefault="00DA5466" w:rsidP="001B7D5C">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DA5466" w:rsidRPr="00A0472D">
        <w:trPr>
          <w:trHeight w:val="274"/>
        </w:trPr>
        <w:tc>
          <w:tcPr>
            <w:tcW w:w="1276" w:type="dxa"/>
            <w:shd w:val="clear" w:color="auto" w:fill="FFFFFF" w:themeFill="background1"/>
          </w:tcPr>
          <w:p w:rsidR="00DA5466" w:rsidRPr="00A0472D" w:rsidRDefault="00DA5466" w:rsidP="001B7D5C">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DA5466" w:rsidRPr="00A0472D" w:rsidRDefault="00DA5466" w:rsidP="001B7D5C">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DA5466" w:rsidRPr="00A0472D" w:rsidRDefault="00DA5466" w:rsidP="001B7D5C">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 xml:space="preserve">igure.1). </w:t>
            </w:r>
          </w:p>
        </w:tc>
      </w:tr>
      <w:tr w:rsidR="00DA5466" w:rsidRPr="00A0472D">
        <w:trPr>
          <w:trHeight w:val="274"/>
        </w:trPr>
        <w:tc>
          <w:tcPr>
            <w:tcW w:w="1276" w:type="dxa"/>
            <w:shd w:val="clear" w:color="auto" w:fill="FFFFFF" w:themeFill="background1"/>
          </w:tcPr>
          <w:p w:rsidR="00DA5466" w:rsidRPr="00A0472D" w:rsidRDefault="00DA5466" w:rsidP="001B7D5C">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DA5466" w:rsidRPr="00A0472D" w:rsidRDefault="00DA5466" w:rsidP="001B7D5C">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DA5466" w:rsidRPr="00A0472D" w:rsidRDefault="00DA5466" w:rsidP="001B7D5C">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DA5466" w:rsidRPr="00A0472D">
        <w:trPr>
          <w:trHeight w:val="274"/>
        </w:trPr>
        <w:tc>
          <w:tcPr>
            <w:tcW w:w="1276" w:type="dxa"/>
            <w:tcBorders>
              <w:bottom w:val="single" w:sz="4" w:space="0" w:color="auto"/>
            </w:tcBorders>
            <w:shd w:val="clear" w:color="auto" w:fill="FFFFFF" w:themeFill="background1"/>
          </w:tcPr>
          <w:p w:rsidR="00DA5466" w:rsidRPr="00A0472D" w:rsidRDefault="00DA5466" w:rsidP="001B7D5C">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DA5466" w:rsidRPr="00A0472D" w:rsidRDefault="00DA5466" w:rsidP="001B7D5C">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DA5466" w:rsidRPr="00A0472D" w:rsidRDefault="00DA5466" w:rsidP="001B7D5C">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DA5466" w:rsidRPr="00A0472D">
        <w:trPr>
          <w:trHeight w:val="274"/>
        </w:trPr>
        <w:tc>
          <w:tcPr>
            <w:tcW w:w="1276" w:type="dxa"/>
            <w:shd w:val="clear" w:color="auto" w:fill="FFFFFF" w:themeFill="background1"/>
          </w:tcPr>
          <w:p w:rsidR="00DA5466" w:rsidRPr="008152C4" w:rsidRDefault="00DA5466" w:rsidP="001B7D5C">
            <w:pPr>
              <w:spacing w:after="0" w:line="20" w:lineRule="atLeast"/>
              <w:rPr>
                <w:sz w:val="18"/>
                <w:szCs w:val="18"/>
              </w:rPr>
            </w:pPr>
            <w:r>
              <w:rPr>
                <w:sz w:val="18"/>
                <w:szCs w:val="18"/>
              </w:rPr>
              <w:t>KIT</w:t>
            </w:r>
          </w:p>
        </w:tc>
        <w:tc>
          <w:tcPr>
            <w:tcW w:w="1418" w:type="dxa"/>
            <w:shd w:val="clear" w:color="auto" w:fill="FFFFFF" w:themeFill="background1"/>
          </w:tcPr>
          <w:p w:rsidR="00DA5466" w:rsidRPr="008152C4" w:rsidRDefault="00DA5466" w:rsidP="001B7D5C">
            <w:pPr>
              <w:spacing w:after="0" w:line="20" w:lineRule="atLeast"/>
              <w:rPr>
                <w:sz w:val="18"/>
                <w:szCs w:val="18"/>
              </w:rPr>
            </w:pPr>
            <w:r w:rsidRPr="008152C4">
              <w:rPr>
                <w:sz w:val="18"/>
                <w:szCs w:val="18"/>
              </w:rPr>
              <w:t>Innovation</w:t>
            </w:r>
          </w:p>
        </w:tc>
        <w:tc>
          <w:tcPr>
            <w:tcW w:w="5670" w:type="dxa"/>
            <w:shd w:val="clear" w:color="auto" w:fill="FFFFFF" w:themeFill="background1"/>
          </w:tcPr>
          <w:p w:rsidR="00DA5466" w:rsidRPr="008152C4" w:rsidRDefault="00DA5466" w:rsidP="001B7D5C">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DA5466" w:rsidRPr="00A0472D">
        <w:trPr>
          <w:trHeight w:val="274"/>
        </w:trPr>
        <w:tc>
          <w:tcPr>
            <w:tcW w:w="1276" w:type="dxa"/>
            <w:shd w:val="clear" w:color="auto" w:fill="FFFFFF" w:themeFill="background1"/>
          </w:tcPr>
          <w:p w:rsidR="00DA5466" w:rsidRPr="00A0472D" w:rsidRDefault="00DA5466" w:rsidP="001B7D5C">
            <w:pPr>
              <w:spacing w:after="0" w:line="20" w:lineRule="atLeast"/>
              <w:rPr>
                <w:sz w:val="18"/>
                <w:szCs w:val="18"/>
              </w:rPr>
            </w:pPr>
            <w:r w:rsidRPr="008152C4">
              <w:rPr>
                <w:sz w:val="18"/>
                <w:szCs w:val="18"/>
              </w:rPr>
              <w:t>SGPTD</w:t>
            </w:r>
          </w:p>
        </w:tc>
        <w:tc>
          <w:tcPr>
            <w:tcW w:w="1418" w:type="dxa"/>
            <w:shd w:val="clear" w:color="auto" w:fill="FFFFFF" w:themeFill="background1"/>
          </w:tcPr>
          <w:p w:rsidR="00DA5466" w:rsidRPr="00A0472D" w:rsidRDefault="00DA5466" w:rsidP="001B7D5C">
            <w:pPr>
              <w:spacing w:after="0" w:line="20" w:lineRule="atLeast"/>
              <w:rPr>
                <w:sz w:val="18"/>
                <w:szCs w:val="18"/>
              </w:rPr>
            </w:pPr>
            <w:r w:rsidRPr="008152C4">
              <w:rPr>
                <w:sz w:val="18"/>
                <w:szCs w:val="18"/>
              </w:rPr>
              <w:t>Growth poles</w:t>
            </w:r>
          </w:p>
        </w:tc>
        <w:tc>
          <w:tcPr>
            <w:tcW w:w="5670" w:type="dxa"/>
            <w:shd w:val="clear" w:color="auto" w:fill="FFFFFF" w:themeFill="background1"/>
          </w:tcPr>
          <w:p w:rsidR="00DA5466" w:rsidRPr="00A0472D" w:rsidRDefault="00DA5466" w:rsidP="001B7D5C">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DA5466" w:rsidRPr="00A0472D">
        <w:trPr>
          <w:trHeight w:val="274"/>
        </w:trPr>
        <w:tc>
          <w:tcPr>
            <w:tcW w:w="1276" w:type="dxa"/>
            <w:shd w:val="clear" w:color="auto" w:fill="FFFFFF" w:themeFill="background1"/>
          </w:tcPr>
          <w:p w:rsidR="00DA5466" w:rsidRPr="00A0472D" w:rsidRDefault="00DA5466" w:rsidP="001B7D5C">
            <w:pPr>
              <w:spacing w:after="0" w:line="20" w:lineRule="atLeast"/>
              <w:rPr>
                <w:sz w:val="18"/>
                <w:szCs w:val="18"/>
              </w:rPr>
            </w:pPr>
            <w:r w:rsidRPr="0005056A">
              <w:rPr>
                <w:sz w:val="18"/>
                <w:szCs w:val="18"/>
              </w:rPr>
              <w:t>GEOSPECS</w:t>
            </w:r>
          </w:p>
        </w:tc>
        <w:tc>
          <w:tcPr>
            <w:tcW w:w="1418" w:type="dxa"/>
            <w:shd w:val="clear" w:color="auto" w:fill="FFFFFF" w:themeFill="background1"/>
          </w:tcPr>
          <w:p w:rsidR="00DA5466" w:rsidRPr="00A0472D" w:rsidRDefault="00DA5466" w:rsidP="001B7D5C">
            <w:pPr>
              <w:spacing w:after="0" w:line="20" w:lineRule="atLeast"/>
              <w:rPr>
                <w:sz w:val="18"/>
                <w:szCs w:val="18"/>
              </w:rPr>
            </w:pPr>
            <w:r w:rsidRPr="0005056A">
              <w:rPr>
                <w:sz w:val="18"/>
                <w:szCs w:val="18"/>
              </w:rPr>
              <w:t>Specific types of territories</w:t>
            </w:r>
          </w:p>
        </w:tc>
        <w:tc>
          <w:tcPr>
            <w:tcW w:w="5670" w:type="dxa"/>
            <w:shd w:val="clear" w:color="auto" w:fill="FFFFFF" w:themeFill="background1"/>
          </w:tcPr>
          <w:p w:rsidR="00DA5466" w:rsidRPr="00C2449F" w:rsidRDefault="00DA5466" w:rsidP="001B7D5C">
            <w:pPr>
              <w:spacing w:after="0" w:line="20" w:lineRule="atLeast"/>
              <w:rPr>
                <w:rFonts w:cs="Calibri"/>
                <w:sz w:val="18"/>
                <w:szCs w:val="20"/>
                <w:lang w:eastAsia="fr-FR"/>
              </w:rPr>
            </w:pPr>
            <w:r w:rsidRPr="0005056A">
              <w:rPr>
                <w:rFonts w:cs="Calibri"/>
                <w:sz w:val="18"/>
                <w:szCs w:val="20"/>
                <w:lang w:eastAsia="fr-FR"/>
              </w:rPr>
              <w:t>It provides evidence on the strength, weaknesses and development opportunities of specific types of territories</w:t>
            </w:r>
            <w:r>
              <w:rPr>
                <w:rFonts w:cs="Calibri"/>
                <w:sz w:val="18"/>
                <w:szCs w:val="20"/>
                <w:lang w:eastAsia="fr-FR"/>
              </w:rPr>
              <w:t>.</w:t>
            </w:r>
          </w:p>
        </w:tc>
      </w:tr>
    </w:tbl>
    <w:p w:rsidR="00DA5466" w:rsidRDefault="00DA5466" w:rsidP="00DA5466">
      <w:pPr>
        <w:spacing w:before="240"/>
      </w:pPr>
      <w:r>
        <w:t>Furthermore, some of overall ESPON products of particular interest for territorial cooperation are:</w:t>
      </w:r>
    </w:p>
    <w:p w:rsidR="00DA5466" w:rsidRDefault="00DA5466" w:rsidP="00DA5466">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DA5466" w:rsidRDefault="00DA5466" w:rsidP="00DA5466">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DA5466" w:rsidRPr="00A33083" w:rsidRDefault="00DA5466" w:rsidP="00DA5466">
      <w:pPr>
        <w:pStyle w:val="ListParagraph"/>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DA5466" w:rsidRDefault="00DA5466" w:rsidP="00DA5466">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DA5466" w:rsidRPr="00CD642B" w:rsidRDefault="00DA5466" w:rsidP="00DA5466">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DA5466" w:rsidRDefault="00DA5466" w:rsidP="00DA5466">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DA5466" w:rsidRPr="003E2CCE" w:rsidRDefault="00DA5466" w:rsidP="00DA5466">
      <w:pPr>
        <w:jc w:val="center"/>
      </w:pPr>
      <w:r w:rsidRPr="00CD642B">
        <w:t>All ESPON reports and tools are freely available at</w:t>
      </w:r>
      <w:r>
        <w:br/>
      </w:r>
      <w:r w:rsidRPr="00CD642B">
        <w:rPr>
          <w:b/>
        </w:rPr>
        <w:t>www.espon.eu</w:t>
      </w:r>
    </w:p>
    <w:p w:rsidR="00DA5466" w:rsidRPr="00DA5466" w:rsidRDefault="00DA5466" w:rsidP="00DA5466">
      <w:pPr>
        <w:rPr>
          <w:highlight w:val="yellow"/>
        </w:rP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7C2F98" w:rsidRPr="007C2F98">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43474" w:rsidRPr="00FB783A" w:rsidRDefault="00843474"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4D3" w:rsidRDefault="00D674D3">
      <w:r>
        <w:separator/>
      </w:r>
    </w:p>
  </w:endnote>
  <w:endnote w:type="continuationSeparator" w:id="0">
    <w:p w:rsidR="00D674D3" w:rsidRDefault="00D674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Default="007C2F98" w:rsidP="00BC65E1">
    <w:pPr>
      <w:framePr w:wrap="around" w:vAnchor="text" w:hAnchor="margin" w:xAlign="right" w:y="1"/>
      <w:rPr>
        <w:rStyle w:val="PageNumber"/>
      </w:rPr>
    </w:pPr>
    <w:r>
      <w:rPr>
        <w:rStyle w:val="PageNumber"/>
      </w:rPr>
      <w:fldChar w:fldCharType="begin"/>
    </w:r>
    <w:r w:rsidR="00843474">
      <w:rPr>
        <w:rStyle w:val="PageNumber"/>
      </w:rPr>
      <w:instrText xml:space="preserve">PAGE  </w:instrText>
    </w:r>
    <w:r>
      <w:rPr>
        <w:rStyle w:val="PageNumber"/>
      </w:rPr>
      <w:fldChar w:fldCharType="separate"/>
    </w:r>
    <w:r w:rsidR="00843474">
      <w:rPr>
        <w:rStyle w:val="PageNumber"/>
        <w:noProof/>
      </w:rPr>
      <w:t>3</w:t>
    </w:r>
    <w:r>
      <w:rPr>
        <w:rStyle w:val="PageNumber"/>
      </w:rPr>
      <w:fldChar w:fldCharType="end"/>
    </w:r>
  </w:p>
  <w:p w:rsidR="00843474" w:rsidRDefault="00843474">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Pr="00A15B61" w:rsidRDefault="007C2F98" w:rsidP="00BC65E1">
    <w:pPr>
      <w:pStyle w:val="Footer"/>
      <w:framePr w:wrap="around" w:vAnchor="text" w:hAnchor="margin" w:xAlign="right" w:y="1"/>
      <w:rPr>
        <w:rStyle w:val="PageNumber"/>
      </w:rPr>
    </w:pPr>
    <w:r w:rsidRPr="00A15B61">
      <w:rPr>
        <w:rStyle w:val="PageNumber"/>
        <w:szCs w:val="20"/>
      </w:rPr>
      <w:fldChar w:fldCharType="begin"/>
    </w:r>
    <w:r w:rsidR="00843474">
      <w:rPr>
        <w:rStyle w:val="PageNumber"/>
        <w:szCs w:val="20"/>
      </w:rPr>
      <w:instrText>PAGE</w:instrText>
    </w:r>
    <w:r w:rsidR="00843474" w:rsidRPr="00A15B61">
      <w:rPr>
        <w:rStyle w:val="PageNumber"/>
        <w:szCs w:val="20"/>
      </w:rPr>
      <w:instrText xml:space="preserve">  </w:instrText>
    </w:r>
    <w:r w:rsidRPr="00A15B61">
      <w:rPr>
        <w:rStyle w:val="PageNumber"/>
        <w:szCs w:val="20"/>
      </w:rPr>
      <w:fldChar w:fldCharType="separate"/>
    </w:r>
    <w:r w:rsidR="00E67C66">
      <w:rPr>
        <w:rStyle w:val="PageNumber"/>
        <w:noProof/>
        <w:szCs w:val="20"/>
      </w:rPr>
      <w:t>1</w:t>
    </w:r>
    <w:r w:rsidRPr="00A15B61">
      <w:rPr>
        <w:rStyle w:val="PageNumber"/>
        <w:szCs w:val="20"/>
      </w:rPr>
      <w:fldChar w:fldCharType="end"/>
    </w:r>
  </w:p>
  <w:p w:rsidR="00843474" w:rsidRPr="00A15B61" w:rsidRDefault="00843474"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Pr="00A15B61" w:rsidRDefault="007C2F98" w:rsidP="00BC65E1">
    <w:pPr>
      <w:pStyle w:val="Footer"/>
      <w:framePr w:wrap="around" w:vAnchor="text" w:hAnchor="margin" w:xAlign="right" w:y="1"/>
      <w:rPr>
        <w:rStyle w:val="PageNumber"/>
      </w:rPr>
    </w:pPr>
    <w:r w:rsidRPr="00A15B61">
      <w:rPr>
        <w:rStyle w:val="PageNumber"/>
        <w:szCs w:val="20"/>
      </w:rPr>
      <w:fldChar w:fldCharType="begin"/>
    </w:r>
    <w:r w:rsidR="00843474">
      <w:rPr>
        <w:rStyle w:val="PageNumber"/>
        <w:szCs w:val="20"/>
      </w:rPr>
      <w:instrText>PAGE</w:instrText>
    </w:r>
    <w:r w:rsidR="00843474" w:rsidRPr="00A15B61">
      <w:rPr>
        <w:rStyle w:val="PageNumber"/>
        <w:szCs w:val="20"/>
      </w:rPr>
      <w:instrText xml:space="preserve">  </w:instrText>
    </w:r>
    <w:r w:rsidRPr="00A15B61">
      <w:rPr>
        <w:rStyle w:val="PageNumber"/>
        <w:szCs w:val="20"/>
      </w:rPr>
      <w:fldChar w:fldCharType="separate"/>
    </w:r>
    <w:r w:rsidR="00E67C66">
      <w:rPr>
        <w:rStyle w:val="PageNumber"/>
        <w:noProof/>
        <w:szCs w:val="20"/>
      </w:rPr>
      <w:t>16</w:t>
    </w:r>
    <w:r w:rsidRPr="00A15B61">
      <w:rPr>
        <w:rStyle w:val="PageNumber"/>
        <w:szCs w:val="20"/>
      </w:rPr>
      <w:fldChar w:fldCharType="end"/>
    </w:r>
  </w:p>
  <w:p w:rsidR="00843474" w:rsidRPr="00A15B61" w:rsidRDefault="00843474"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4D3" w:rsidRDefault="00D674D3">
      <w:r>
        <w:separator/>
      </w:r>
    </w:p>
  </w:footnote>
  <w:footnote w:type="continuationSeparator" w:id="0">
    <w:p w:rsidR="00D674D3" w:rsidRDefault="00D674D3">
      <w:r>
        <w:continuationSeparator/>
      </w:r>
    </w:p>
  </w:footnote>
  <w:footnote w:id="1">
    <w:p w:rsidR="00F542FD" w:rsidRPr="00F542FD" w:rsidRDefault="00F542FD">
      <w:pPr>
        <w:pStyle w:val="FootnoteText"/>
        <w:rPr>
          <w:lang w:val="en-US"/>
        </w:rPr>
      </w:pPr>
      <w:r>
        <w:rPr>
          <w:rStyle w:val="FootnoteReference"/>
        </w:rPr>
        <w:footnoteRef/>
      </w:r>
      <w:r>
        <w:t xml:space="preserve"> </w:t>
      </w:r>
      <w:r w:rsidRPr="00F542FD">
        <w:rPr>
          <w:lang w:val="en-US"/>
        </w:rPr>
        <w:t>Following the general lack of data for the indicators in Sustainable growth no Traffic Lights could have been produced.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Default="007C2F98">
    <w:pPr>
      <w:pStyle w:val="Header"/>
    </w:pPr>
    <w:r w:rsidRPr="007C2F98">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843474" w:rsidRDefault="00843474"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843474" w:rsidRPr="00721B03" w:rsidRDefault="00843474"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43474">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Default="008434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07DD9"/>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144F"/>
    <w:rsid w:val="00072557"/>
    <w:rsid w:val="00073957"/>
    <w:rsid w:val="00073BFF"/>
    <w:rsid w:val="00077C32"/>
    <w:rsid w:val="00077FCF"/>
    <w:rsid w:val="000812A6"/>
    <w:rsid w:val="00083607"/>
    <w:rsid w:val="00085BAD"/>
    <w:rsid w:val="00086387"/>
    <w:rsid w:val="00087C5A"/>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4672C"/>
    <w:rsid w:val="00147567"/>
    <w:rsid w:val="001507D7"/>
    <w:rsid w:val="00150A5A"/>
    <w:rsid w:val="00150FCB"/>
    <w:rsid w:val="00151954"/>
    <w:rsid w:val="00152974"/>
    <w:rsid w:val="00153108"/>
    <w:rsid w:val="0015691A"/>
    <w:rsid w:val="00157B13"/>
    <w:rsid w:val="001629E7"/>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445BB"/>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15B2"/>
    <w:rsid w:val="002A2C96"/>
    <w:rsid w:val="002A7776"/>
    <w:rsid w:val="002B1929"/>
    <w:rsid w:val="002B51CA"/>
    <w:rsid w:val="002B6FA1"/>
    <w:rsid w:val="002B71A8"/>
    <w:rsid w:val="002C06ED"/>
    <w:rsid w:val="002C2CBC"/>
    <w:rsid w:val="002C4473"/>
    <w:rsid w:val="002C4B76"/>
    <w:rsid w:val="002C780D"/>
    <w:rsid w:val="002D1443"/>
    <w:rsid w:val="002D3185"/>
    <w:rsid w:val="002D5B13"/>
    <w:rsid w:val="002E0490"/>
    <w:rsid w:val="002E20E5"/>
    <w:rsid w:val="002E529A"/>
    <w:rsid w:val="002E619E"/>
    <w:rsid w:val="002E7BA4"/>
    <w:rsid w:val="002F1D75"/>
    <w:rsid w:val="002F4B38"/>
    <w:rsid w:val="002F713F"/>
    <w:rsid w:val="00303833"/>
    <w:rsid w:val="00304555"/>
    <w:rsid w:val="00304A46"/>
    <w:rsid w:val="003052B2"/>
    <w:rsid w:val="0030699A"/>
    <w:rsid w:val="00322B33"/>
    <w:rsid w:val="003253E2"/>
    <w:rsid w:val="003270E4"/>
    <w:rsid w:val="003351B4"/>
    <w:rsid w:val="00337519"/>
    <w:rsid w:val="00337872"/>
    <w:rsid w:val="00344591"/>
    <w:rsid w:val="00351255"/>
    <w:rsid w:val="00351563"/>
    <w:rsid w:val="00351E65"/>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B512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1C0A"/>
    <w:rsid w:val="004122A0"/>
    <w:rsid w:val="00412C19"/>
    <w:rsid w:val="00415E62"/>
    <w:rsid w:val="004173E4"/>
    <w:rsid w:val="004177FC"/>
    <w:rsid w:val="0042391C"/>
    <w:rsid w:val="0042502E"/>
    <w:rsid w:val="00433090"/>
    <w:rsid w:val="00434EE5"/>
    <w:rsid w:val="004353CB"/>
    <w:rsid w:val="00437A6F"/>
    <w:rsid w:val="0044029A"/>
    <w:rsid w:val="00445A8A"/>
    <w:rsid w:val="0044604E"/>
    <w:rsid w:val="00447210"/>
    <w:rsid w:val="00452F61"/>
    <w:rsid w:val="00454825"/>
    <w:rsid w:val="00456E90"/>
    <w:rsid w:val="004601F4"/>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232E"/>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1670"/>
    <w:rsid w:val="005023B0"/>
    <w:rsid w:val="00502D0D"/>
    <w:rsid w:val="00502E0A"/>
    <w:rsid w:val="00505959"/>
    <w:rsid w:val="005070C8"/>
    <w:rsid w:val="00511059"/>
    <w:rsid w:val="005131EA"/>
    <w:rsid w:val="00524215"/>
    <w:rsid w:val="00526E5A"/>
    <w:rsid w:val="005322AA"/>
    <w:rsid w:val="00541834"/>
    <w:rsid w:val="0054220D"/>
    <w:rsid w:val="005433C5"/>
    <w:rsid w:val="00545F8A"/>
    <w:rsid w:val="005463AC"/>
    <w:rsid w:val="00552FAD"/>
    <w:rsid w:val="00556D25"/>
    <w:rsid w:val="00562AB0"/>
    <w:rsid w:val="0056756F"/>
    <w:rsid w:val="00571653"/>
    <w:rsid w:val="00571A61"/>
    <w:rsid w:val="00571C81"/>
    <w:rsid w:val="00573343"/>
    <w:rsid w:val="0057346D"/>
    <w:rsid w:val="005761A6"/>
    <w:rsid w:val="00582C35"/>
    <w:rsid w:val="00585345"/>
    <w:rsid w:val="00593AD0"/>
    <w:rsid w:val="00593B7A"/>
    <w:rsid w:val="00595161"/>
    <w:rsid w:val="005967A2"/>
    <w:rsid w:val="00597872"/>
    <w:rsid w:val="005A3E20"/>
    <w:rsid w:val="005A4932"/>
    <w:rsid w:val="005A5FC4"/>
    <w:rsid w:val="005A73D9"/>
    <w:rsid w:val="005A7DFC"/>
    <w:rsid w:val="005B3722"/>
    <w:rsid w:val="005C108D"/>
    <w:rsid w:val="005C58DE"/>
    <w:rsid w:val="005C6D17"/>
    <w:rsid w:val="005C79FD"/>
    <w:rsid w:val="005D0C21"/>
    <w:rsid w:val="005D1921"/>
    <w:rsid w:val="005D2D0B"/>
    <w:rsid w:val="005D53EE"/>
    <w:rsid w:val="005D621D"/>
    <w:rsid w:val="005D78FE"/>
    <w:rsid w:val="005E463C"/>
    <w:rsid w:val="005E4E4C"/>
    <w:rsid w:val="005E6290"/>
    <w:rsid w:val="005E7BA2"/>
    <w:rsid w:val="005F1E23"/>
    <w:rsid w:val="005F24DD"/>
    <w:rsid w:val="005F7BDC"/>
    <w:rsid w:val="0060091E"/>
    <w:rsid w:val="00610DAB"/>
    <w:rsid w:val="0061660C"/>
    <w:rsid w:val="00616DE9"/>
    <w:rsid w:val="0061757F"/>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87502"/>
    <w:rsid w:val="00690277"/>
    <w:rsid w:val="00691926"/>
    <w:rsid w:val="0069219F"/>
    <w:rsid w:val="00694452"/>
    <w:rsid w:val="00695762"/>
    <w:rsid w:val="006A17A6"/>
    <w:rsid w:val="006A30AF"/>
    <w:rsid w:val="006A3291"/>
    <w:rsid w:val="006A5610"/>
    <w:rsid w:val="006A5F96"/>
    <w:rsid w:val="006A7FE2"/>
    <w:rsid w:val="006B48FD"/>
    <w:rsid w:val="006B4A2A"/>
    <w:rsid w:val="006B59A1"/>
    <w:rsid w:val="006C481B"/>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5EAC"/>
    <w:rsid w:val="007370BC"/>
    <w:rsid w:val="007375D5"/>
    <w:rsid w:val="007423B2"/>
    <w:rsid w:val="007456E2"/>
    <w:rsid w:val="00747707"/>
    <w:rsid w:val="00760488"/>
    <w:rsid w:val="00761029"/>
    <w:rsid w:val="0076148F"/>
    <w:rsid w:val="007656EC"/>
    <w:rsid w:val="00770B5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2F98"/>
    <w:rsid w:val="007C52E9"/>
    <w:rsid w:val="007E2555"/>
    <w:rsid w:val="007E3756"/>
    <w:rsid w:val="007F16DF"/>
    <w:rsid w:val="007F2A06"/>
    <w:rsid w:val="007F3142"/>
    <w:rsid w:val="007F3BF9"/>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3474"/>
    <w:rsid w:val="00844319"/>
    <w:rsid w:val="008454F5"/>
    <w:rsid w:val="00846CF1"/>
    <w:rsid w:val="00847741"/>
    <w:rsid w:val="008512B7"/>
    <w:rsid w:val="00855241"/>
    <w:rsid w:val="008555CF"/>
    <w:rsid w:val="00856EFD"/>
    <w:rsid w:val="00857F3C"/>
    <w:rsid w:val="00871839"/>
    <w:rsid w:val="00875551"/>
    <w:rsid w:val="00876AC8"/>
    <w:rsid w:val="008829C7"/>
    <w:rsid w:val="00882F9C"/>
    <w:rsid w:val="00885028"/>
    <w:rsid w:val="0088562E"/>
    <w:rsid w:val="00886C11"/>
    <w:rsid w:val="00891455"/>
    <w:rsid w:val="0089569C"/>
    <w:rsid w:val="00895E5B"/>
    <w:rsid w:val="00896802"/>
    <w:rsid w:val="008A3B96"/>
    <w:rsid w:val="008A63DF"/>
    <w:rsid w:val="008A68FF"/>
    <w:rsid w:val="008B1002"/>
    <w:rsid w:val="008B2C0A"/>
    <w:rsid w:val="008B582B"/>
    <w:rsid w:val="008B5BDF"/>
    <w:rsid w:val="008B7A33"/>
    <w:rsid w:val="008C11D3"/>
    <w:rsid w:val="008C37DF"/>
    <w:rsid w:val="008C5656"/>
    <w:rsid w:val="008C7A02"/>
    <w:rsid w:val="008C7EA6"/>
    <w:rsid w:val="008D0268"/>
    <w:rsid w:val="008D1558"/>
    <w:rsid w:val="008D2417"/>
    <w:rsid w:val="008D3D7F"/>
    <w:rsid w:val="008D3E90"/>
    <w:rsid w:val="008D4CB6"/>
    <w:rsid w:val="008D7746"/>
    <w:rsid w:val="008E033C"/>
    <w:rsid w:val="008E146A"/>
    <w:rsid w:val="008E24D2"/>
    <w:rsid w:val="008E385E"/>
    <w:rsid w:val="008E4D86"/>
    <w:rsid w:val="008E6B67"/>
    <w:rsid w:val="008F25A0"/>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17D8"/>
    <w:rsid w:val="00943F1C"/>
    <w:rsid w:val="00946375"/>
    <w:rsid w:val="00951B33"/>
    <w:rsid w:val="00952C12"/>
    <w:rsid w:val="009540EB"/>
    <w:rsid w:val="00957833"/>
    <w:rsid w:val="009607D7"/>
    <w:rsid w:val="00966083"/>
    <w:rsid w:val="00971C9B"/>
    <w:rsid w:val="009727D3"/>
    <w:rsid w:val="009729A4"/>
    <w:rsid w:val="00973416"/>
    <w:rsid w:val="00974016"/>
    <w:rsid w:val="00974649"/>
    <w:rsid w:val="00977AED"/>
    <w:rsid w:val="00983AB6"/>
    <w:rsid w:val="00990C32"/>
    <w:rsid w:val="0099613A"/>
    <w:rsid w:val="00997518"/>
    <w:rsid w:val="009A379F"/>
    <w:rsid w:val="009A768F"/>
    <w:rsid w:val="009A7921"/>
    <w:rsid w:val="009B2BE6"/>
    <w:rsid w:val="009B4050"/>
    <w:rsid w:val="009B434E"/>
    <w:rsid w:val="009B592C"/>
    <w:rsid w:val="009C0409"/>
    <w:rsid w:val="009C12E9"/>
    <w:rsid w:val="009D1667"/>
    <w:rsid w:val="009D1D06"/>
    <w:rsid w:val="009D22EC"/>
    <w:rsid w:val="009D2E8A"/>
    <w:rsid w:val="009D36AE"/>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078A0"/>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3A5D"/>
    <w:rsid w:val="00A446B0"/>
    <w:rsid w:val="00A447B6"/>
    <w:rsid w:val="00A457AA"/>
    <w:rsid w:val="00A46196"/>
    <w:rsid w:val="00A47168"/>
    <w:rsid w:val="00A55855"/>
    <w:rsid w:val="00A61620"/>
    <w:rsid w:val="00A62876"/>
    <w:rsid w:val="00A7369A"/>
    <w:rsid w:val="00A73F5F"/>
    <w:rsid w:val="00A76236"/>
    <w:rsid w:val="00A76F72"/>
    <w:rsid w:val="00A851F4"/>
    <w:rsid w:val="00A91FBB"/>
    <w:rsid w:val="00A9486C"/>
    <w:rsid w:val="00A967C7"/>
    <w:rsid w:val="00A9708D"/>
    <w:rsid w:val="00A971C3"/>
    <w:rsid w:val="00AA2C67"/>
    <w:rsid w:val="00AA4952"/>
    <w:rsid w:val="00AA5486"/>
    <w:rsid w:val="00AB0F46"/>
    <w:rsid w:val="00AB16F9"/>
    <w:rsid w:val="00AB23D7"/>
    <w:rsid w:val="00AB243A"/>
    <w:rsid w:val="00AB5BB9"/>
    <w:rsid w:val="00AB6431"/>
    <w:rsid w:val="00AC3144"/>
    <w:rsid w:val="00AC52D7"/>
    <w:rsid w:val="00AC7369"/>
    <w:rsid w:val="00AD1095"/>
    <w:rsid w:val="00AD3626"/>
    <w:rsid w:val="00AD5E29"/>
    <w:rsid w:val="00AD6766"/>
    <w:rsid w:val="00AE4821"/>
    <w:rsid w:val="00AE7F5D"/>
    <w:rsid w:val="00AF0B72"/>
    <w:rsid w:val="00AF1C0F"/>
    <w:rsid w:val="00AF35C2"/>
    <w:rsid w:val="00AF42C2"/>
    <w:rsid w:val="00AF42DC"/>
    <w:rsid w:val="00AF47EF"/>
    <w:rsid w:val="00AF5C8C"/>
    <w:rsid w:val="00AF61D7"/>
    <w:rsid w:val="00AF6A34"/>
    <w:rsid w:val="00B04642"/>
    <w:rsid w:val="00B06874"/>
    <w:rsid w:val="00B07EAE"/>
    <w:rsid w:val="00B1075F"/>
    <w:rsid w:val="00B111E1"/>
    <w:rsid w:val="00B135A2"/>
    <w:rsid w:val="00B13697"/>
    <w:rsid w:val="00B16B03"/>
    <w:rsid w:val="00B2763C"/>
    <w:rsid w:val="00B27F58"/>
    <w:rsid w:val="00B31866"/>
    <w:rsid w:val="00B3257D"/>
    <w:rsid w:val="00B328F8"/>
    <w:rsid w:val="00B410A8"/>
    <w:rsid w:val="00B43B1B"/>
    <w:rsid w:val="00B45029"/>
    <w:rsid w:val="00B472A4"/>
    <w:rsid w:val="00B47314"/>
    <w:rsid w:val="00B47EEE"/>
    <w:rsid w:val="00B51A9A"/>
    <w:rsid w:val="00B54542"/>
    <w:rsid w:val="00B55DC5"/>
    <w:rsid w:val="00B57F87"/>
    <w:rsid w:val="00B57FCF"/>
    <w:rsid w:val="00B601F1"/>
    <w:rsid w:val="00B6026B"/>
    <w:rsid w:val="00B60A2F"/>
    <w:rsid w:val="00B61D5A"/>
    <w:rsid w:val="00B7058E"/>
    <w:rsid w:val="00B728C8"/>
    <w:rsid w:val="00B75224"/>
    <w:rsid w:val="00B757EC"/>
    <w:rsid w:val="00B77BD4"/>
    <w:rsid w:val="00B82E7B"/>
    <w:rsid w:val="00B85450"/>
    <w:rsid w:val="00B85AA5"/>
    <w:rsid w:val="00B85B04"/>
    <w:rsid w:val="00B8613C"/>
    <w:rsid w:val="00B872B1"/>
    <w:rsid w:val="00B92990"/>
    <w:rsid w:val="00B9562C"/>
    <w:rsid w:val="00B969F0"/>
    <w:rsid w:val="00BA0117"/>
    <w:rsid w:val="00BA05C6"/>
    <w:rsid w:val="00BA1233"/>
    <w:rsid w:val="00BA161A"/>
    <w:rsid w:val="00BA5459"/>
    <w:rsid w:val="00BA5775"/>
    <w:rsid w:val="00BA5AB5"/>
    <w:rsid w:val="00BA651D"/>
    <w:rsid w:val="00BA79D6"/>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04C2"/>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4163"/>
    <w:rsid w:val="00D65D89"/>
    <w:rsid w:val="00D674D3"/>
    <w:rsid w:val="00D67AFE"/>
    <w:rsid w:val="00D72C5E"/>
    <w:rsid w:val="00D72DA9"/>
    <w:rsid w:val="00D74BD3"/>
    <w:rsid w:val="00D77200"/>
    <w:rsid w:val="00D805D3"/>
    <w:rsid w:val="00D81724"/>
    <w:rsid w:val="00D8210F"/>
    <w:rsid w:val="00D83C64"/>
    <w:rsid w:val="00D91491"/>
    <w:rsid w:val="00DA0972"/>
    <w:rsid w:val="00DA1668"/>
    <w:rsid w:val="00DA1D77"/>
    <w:rsid w:val="00DA20D3"/>
    <w:rsid w:val="00DA3493"/>
    <w:rsid w:val="00DA3852"/>
    <w:rsid w:val="00DA49C4"/>
    <w:rsid w:val="00DA5466"/>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F22D8"/>
    <w:rsid w:val="00DF285C"/>
    <w:rsid w:val="00DF3485"/>
    <w:rsid w:val="00DF76E3"/>
    <w:rsid w:val="00E02024"/>
    <w:rsid w:val="00E03013"/>
    <w:rsid w:val="00E03104"/>
    <w:rsid w:val="00E03ABA"/>
    <w:rsid w:val="00E04EC2"/>
    <w:rsid w:val="00E10213"/>
    <w:rsid w:val="00E108F5"/>
    <w:rsid w:val="00E11808"/>
    <w:rsid w:val="00E11F16"/>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742"/>
    <w:rsid w:val="00E53823"/>
    <w:rsid w:val="00E53C01"/>
    <w:rsid w:val="00E544A0"/>
    <w:rsid w:val="00E576B9"/>
    <w:rsid w:val="00E57FE0"/>
    <w:rsid w:val="00E613A3"/>
    <w:rsid w:val="00E621AC"/>
    <w:rsid w:val="00E6468A"/>
    <w:rsid w:val="00E67C66"/>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1A4D"/>
    <w:rsid w:val="00F320EF"/>
    <w:rsid w:val="00F3218A"/>
    <w:rsid w:val="00F34787"/>
    <w:rsid w:val="00F358CB"/>
    <w:rsid w:val="00F405D2"/>
    <w:rsid w:val="00F452D8"/>
    <w:rsid w:val="00F47743"/>
    <w:rsid w:val="00F519FB"/>
    <w:rsid w:val="00F542FD"/>
    <w:rsid w:val="00F54E2D"/>
    <w:rsid w:val="00F57119"/>
    <w:rsid w:val="00F60CB5"/>
    <w:rsid w:val="00F70635"/>
    <w:rsid w:val="00F738B9"/>
    <w:rsid w:val="00F74241"/>
    <w:rsid w:val="00F77867"/>
    <w:rsid w:val="00F77A11"/>
    <w:rsid w:val="00F77AD1"/>
    <w:rsid w:val="00F804D1"/>
    <w:rsid w:val="00F8766A"/>
    <w:rsid w:val="00F92391"/>
    <w:rsid w:val="00FA0267"/>
    <w:rsid w:val="00FA1FBB"/>
    <w:rsid w:val="00FB0450"/>
    <w:rsid w:val="00FB3AD9"/>
    <w:rsid w:val="00FC08B7"/>
    <w:rsid w:val="00FC2270"/>
    <w:rsid w:val="00FC5035"/>
    <w:rsid w:val="00FC6A8F"/>
    <w:rsid w:val="00FD413B"/>
    <w:rsid w:val="00FD4E3A"/>
    <w:rsid w:val="00FD54FE"/>
    <w:rsid w:val="00FD6260"/>
    <w:rsid w:val="00FD70D0"/>
    <w:rsid w:val="00FE2C1C"/>
    <w:rsid w:val="00FE4706"/>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12916001">
      <w:bodyDiv w:val="1"/>
      <w:marLeft w:val="0"/>
      <w:marRight w:val="0"/>
      <w:marTop w:val="0"/>
      <w:marBottom w:val="0"/>
      <w:divBdr>
        <w:top w:val="none" w:sz="0" w:space="0" w:color="auto"/>
        <w:left w:val="none" w:sz="0" w:space="0" w:color="auto"/>
        <w:bottom w:val="none" w:sz="0" w:space="0" w:color="auto"/>
        <w:right w:val="none" w:sz="0" w:space="0" w:color="auto"/>
      </w:divBdr>
    </w:div>
    <w:div w:id="570770122">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756514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www.espon.eu/main/Menu_Projects/"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C0C1BB80-1EB0-4B18-B891-62077B09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2600</Words>
  <Characters>14824</Characters>
  <Application>Microsoft Office Word</Application>
  <DocSecurity>0</DocSecurity>
  <Lines>123</Lines>
  <Paragraphs>34</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17390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12</cp:revision>
  <cp:lastPrinted>2012-10-25T10:30:00Z</cp:lastPrinted>
  <dcterms:created xsi:type="dcterms:W3CDTF">2012-11-20T10:23:00Z</dcterms:created>
  <dcterms:modified xsi:type="dcterms:W3CDTF">2012-11-27T11:34:00Z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